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383D" w:rsidRPr="00D84510" w:rsidRDefault="00B2350C" w:rsidP="004D45FF">
      <w:pPr>
        <w:spacing w:line="240" w:lineRule="auto"/>
        <w:jc w:val="center"/>
        <w:rPr>
          <w:rStyle w:val="IntenseEmphasis"/>
          <w:rFonts w:asciiTheme="minorHAnsi" w:hAnsiTheme="minorHAnsi"/>
          <w:i w:val="0"/>
          <w:sz w:val="32"/>
        </w:rPr>
      </w:pPr>
      <w:bookmarkStart w:id="0" w:name="_GoBack"/>
      <w:bookmarkEnd w:id="0"/>
      <w:r w:rsidRPr="00D84510">
        <w:rPr>
          <w:rStyle w:val="IntenseEmphasis"/>
          <w:rFonts w:asciiTheme="minorHAnsi" w:hAnsiTheme="minorHAnsi"/>
          <w:i w:val="0"/>
          <w:sz w:val="32"/>
        </w:rPr>
        <w:t>Investing in Nutrition to Achieve Sustainable Development</w:t>
      </w:r>
    </w:p>
    <w:p w:rsidR="000A745C" w:rsidRPr="004D45FF" w:rsidRDefault="000A745C" w:rsidP="004D45FF">
      <w:pPr>
        <w:spacing w:line="240" w:lineRule="auto"/>
        <w:jc w:val="center"/>
        <w:rPr>
          <w:rStyle w:val="IntenseEmphasis"/>
          <w:rFonts w:asciiTheme="minorHAnsi" w:hAnsiTheme="minorHAnsi"/>
          <w:i w:val="0"/>
          <w:sz w:val="12"/>
          <w:szCs w:val="22"/>
        </w:rPr>
      </w:pPr>
    </w:p>
    <w:p w:rsidR="0059383D" w:rsidRPr="00D84510" w:rsidRDefault="000A745C" w:rsidP="004D45FF">
      <w:pPr>
        <w:spacing w:line="240" w:lineRule="auto"/>
        <w:jc w:val="center"/>
        <w:rPr>
          <w:rFonts w:asciiTheme="minorHAnsi" w:hAnsiTheme="minorHAnsi"/>
          <w:b/>
          <w:sz w:val="21"/>
          <w:szCs w:val="21"/>
          <w:shd w:val="clear" w:color="auto" w:fill="FFFFFF"/>
        </w:rPr>
      </w:pPr>
      <w:r w:rsidRPr="00D84510">
        <w:rPr>
          <w:rFonts w:asciiTheme="minorHAnsi" w:hAnsiTheme="minorHAnsi"/>
          <w:b/>
          <w:sz w:val="21"/>
          <w:szCs w:val="21"/>
          <w:shd w:val="clear" w:color="auto" w:fill="FFFFFF"/>
        </w:rPr>
        <w:t>Despite extraordinary returns on investment and the high cost-benefit ratio, current global spending for basic solutions to  improve nutrition totals less than 1% of development aid (estimated at $0.25 -0.3 billion). Scale-up of nutrition-focused aid is crucial to end malnutrition and - ultimately - save lives.</w:t>
      </w:r>
    </w:p>
    <w:p w:rsidR="000A745C" w:rsidRPr="002F29A6" w:rsidRDefault="000A745C" w:rsidP="004D45FF">
      <w:pPr>
        <w:spacing w:line="240" w:lineRule="auto"/>
        <w:rPr>
          <w:rFonts w:asciiTheme="minorHAnsi" w:hAnsiTheme="minorHAnsi"/>
          <w:szCs w:val="21"/>
        </w:rPr>
      </w:pPr>
    </w:p>
    <w:p w:rsidR="0059383D" w:rsidRPr="002F29A6" w:rsidRDefault="00E12ABC" w:rsidP="004D45FF">
      <w:pPr>
        <w:spacing w:line="240" w:lineRule="auto"/>
        <w:rPr>
          <w:rFonts w:asciiTheme="minorHAnsi" w:hAnsiTheme="minorHAnsi"/>
          <w:sz w:val="21"/>
          <w:szCs w:val="21"/>
        </w:rPr>
      </w:pPr>
      <w:r w:rsidRPr="002F29A6">
        <w:rPr>
          <w:rFonts w:asciiTheme="minorHAnsi" w:eastAsia="Calibri" w:hAnsiTheme="minorHAnsi" w:cs="Calibri"/>
          <w:b/>
          <w:color w:val="0070C0"/>
          <w:sz w:val="21"/>
          <w:szCs w:val="21"/>
        </w:rPr>
        <w:t>Malnutrition is a global p</w:t>
      </w:r>
      <w:r w:rsidR="00B2350C" w:rsidRPr="002F29A6">
        <w:rPr>
          <w:rFonts w:asciiTheme="minorHAnsi" w:eastAsia="Calibri" w:hAnsiTheme="minorHAnsi" w:cs="Calibri"/>
          <w:b/>
          <w:color w:val="0070C0"/>
          <w:sz w:val="21"/>
          <w:szCs w:val="21"/>
        </w:rPr>
        <w:t>roblem</w:t>
      </w:r>
    </w:p>
    <w:p w:rsidR="0059383D" w:rsidRPr="002F29A6" w:rsidRDefault="00B2350C" w:rsidP="004D45FF">
      <w:pPr>
        <w:spacing w:line="240" w:lineRule="auto"/>
        <w:jc w:val="both"/>
        <w:rPr>
          <w:rFonts w:asciiTheme="minorHAnsi" w:eastAsia="Calibri" w:hAnsiTheme="minorHAnsi" w:cs="Calibr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 xml:space="preserve">Every country in the world suffers from 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>at least one form of malnutrition: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undernutrition, overweight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>/obesity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or micronutrient 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>deficiencies</w:t>
      </w:r>
      <w:r w:rsidRPr="002F29A6">
        <w:rPr>
          <w:rFonts w:asciiTheme="minorHAnsi" w:eastAsia="Calibri" w:hAnsiTheme="minorHAnsi" w:cs="Calibri"/>
          <w:sz w:val="21"/>
          <w:szCs w:val="21"/>
        </w:rPr>
        <w:t>. Globally 161 million children under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 xml:space="preserve"> age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5 - approximately 1 in every 4 - are stunted (low height for age) and </w:t>
      </w:r>
      <w:r w:rsidR="00A56059" w:rsidRPr="002F29A6">
        <w:rPr>
          <w:rFonts w:asciiTheme="minorHAnsi" w:eastAsia="Calibri" w:hAnsiTheme="minorHAnsi" w:cs="Calibri"/>
          <w:sz w:val="21"/>
          <w:szCs w:val="21"/>
        </w:rPr>
        <w:t xml:space="preserve">51 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million suffer from wasting (low weight for </w:t>
      </w:r>
      <w:r w:rsidRPr="002F29A6">
        <w:rPr>
          <w:rFonts w:asciiTheme="minorHAnsi" w:eastAsia="Calibri" w:hAnsiTheme="minorHAnsi" w:cs="Calibri"/>
          <w:color w:val="auto"/>
          <w:sz w:val="21"/>
          <w:szCs w:val="21"/>
        </w:rPr>
        <w:t xml:space="preserve">height). </w:t>
      </w:r>
      <w:proofErr w:type="gramStart"/>
      <w:r w:rsidR="000A745C" w:rsidRPr="002F29A6">
        <w:rPr>
          <w:rFonts w:asciiTheme="minorHAnsi" w:hAnsiTheme="minorHAnsi"/>
          <w:color w:val="auto"/>
          <w:sz w:val="21"/>
          <w:szCs w:val="21"/>
        </w:rPr>
        <w:t>Long term</w:t>
      </w:r>
      <w:r w:rsidR="00E12ABC" w:rsidRPr="002F29A6">
        <w:rPr>
          <w:rFonts w:asciiTheme="minorHAnsi" w:hAnsiTheme="minorHAnsi"/>
          <w:color w:val="auto"/>
          <w:sz w:val="21"/>
          <w:szCs w:val="21"/>
        </w:rPr>
        <w:t xml:space="preserve"> stunting and wasting result in limitations to both physical and cognitive development.</w:t>
      </w:r>
      <w:proofErr w:type="gramEnd"/>
      <w:r w:rsidR="00E12ABC" w:rsidRPr="002F29A6">
        <w:rPr>
          <w:rFonts w:asciiTheme="minorHAnsi" w:hAnsiTheme="minorHAnsi"/>
          <w:color w:val="auto"/>
          <w:sz w:val="21"/>
          <w:szCs w:val="21"/>
        </w:rPr>
        <w:t xml:space="preserve"> Nearly 40% of pregnant women suffer from </w:t>
      </w:r>
      <w:r w:rsidR="00E12ABC" w:rsidRPr="00B174F7">
        <w:rPr>
          <w:rFonts w:asciiTheme="minorHAnsi" w:hAnsiTheme="minorHAnsi"/>
          <w:color w:val="auto"/>
          <w:sz w:val="21"/>
          <w:szCs w:val="21"/>
        </w:rPr>
        <w:t xml:space="preserve">anemia, </w:t>
      </w:r>
      <w:r w:rsidR="00D62A6D" w:rsidRPr="00B174F7">
        <w:rPr>
          <w:rFonts w:asciiTheme="minorHAnsi" w:hAnsiTheme="minorHAnsi" w:cs="Lucida Sans Unicode"/>
          <w:color w:val="403838"/>
          <w:sz w:val="21"/>
          <w:szCs w:val="21"/>
          <w:shd w:val="clear" w:color="auto" w:fill="FFFFFF"/>
        </w:rPr>
        <w:t xml:space="preserve">a risk factor for preterm delivery </w:t>
      </w:r>
      <w:r w:rsidR="00C46980" w:rsidRPr="00B174F7">
        <w:rPr>
          <w:rFonts w:asciiTheme="minorHAnsi" w:hAnsiTheme="minorHAnsi" w:cs="Lucida Sans Unicode"/>
          <w:color w:val="403838"/>
          <w:sz w:val="21"/>
          <w:szCs w:val="21"/>
          <w:shd w:val="clear" w:color="auto" w:fill="FFFFFF"/>
        </w:rPr>
        <w:t>and subsequent low birth weight</w:t>
      </w:r>
      <w:r w:rsidR="00E12ABC" w:rsidRPr="00B174F7">
        <w:rPr>
          <w:rFonts w:asciiTheme="minorHAnsi" w:hAnsiTheme="minorHAnsi"/>
          <w:color w:val="auto"/>
          <w:sz w:val="21"/>
          <w:szCs w:val="21"/>
        </w:rPr>
        <w:t xml:space="preserve">. Furthermore, a staggering </w:t>
      </w:r>
      <w:r w:rsidR="00E12ABC" w:rsidRPr="00B174F7">
        <w:rPr>
          <w:rFonts w:asciiTheme="minorHAnsi" w:hAnsiTheme="minorHAnsi"/>
          <w:sz w:val="21"/>
          <w:szCs w:val="21"/>
        </w:rPr>
        <w:t>2 billion</w:t>
      </w:r>
      <w:r w:rsidR="00E12ABC" w:rsidRPr="00B174F7">
        <w:rPr>
          <w:rFonts w:asciiTheme="minorHAnsi" w:hAnsiTheme="minorHAnsi"/>
          <w:color w:val="FF0000"/>
          <w:sz w:val="21"/>
          <w:szCs w:val="21"/>
        </w:rPr>
        <w:t xml:space="preserve"> </w:t>
      </w:r>
      <w:r w:rsidR="00E12ABC" w:rsidRPr="00B174F7">
        <w:rPr>
          <w:rFonts w:asciiTheme="minorHAnsi" w:hAnsiTheme="minorHAnsi"/>
          <w:sz w:val="21"/>
          <w:szCs w:val="21"/>
        </w:rPr>
        <w:t>people suffer from overweight or obesity.</w:t>
      </w:r>
      <w:r w:rsidR="00E12ABC" w:rsidRPr="00B174F7">
        <w:rPr>
          <w:rFonts w:asciiTheme="minorHAnsi" w:eastAsia="Calibri" w:hAnsiTheme="minorHAnsi" w:cs="Calibri"/>
          <w:sz w:val="21"/>
          <w:szCs w:val="21"/>
        </w:rPr>
        <w:t xml:space="preserve"> </w:t>
      </w:r>
      <w:r w:rsidRPr="00B174F7">
        <w:rPr>
          <w:rFonts w:asciiTheme="minorHAnsi" w:eastAsia="Calibri" w:hAnsiTheme="minorHAnsi" w:cs="Calibri"/>
          <w:sz w:val="21"/>
          <w:szCs w:val="21"/>
        </w:rPr>
        <w:t xml:space="preserve">We are now in a world where the new normal involves dealing with multiple burdens of malnutrition which are connected </w:t>
      </w:r>
      <w:r w:rsidR="00D326D3" w:rsidRPr="00B174F7">
        <w:rPr>
          <w:rFonts w:asciiTheme="minorHAnsi" w:eastAsia="Calibri" w:hAnsiTheme="minorHAnsi" w:cs="Calibri"/>
          <w:sz w:val="21"/>
          <w:szCs w:val="21"/>
        </w:rPr>
        <w:t>financially,</w:t>
      </w:r>
      <w:r w:rsidR="00D326D3"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Pr="002F29A6">
        <w:rPr>
          <w:rFonts w:asciiTheme="minorHAnsi" w:eastAsia="Calibri" w:hAnsiTheme="minorHAnsi" w:cs="Calibri"/>
          <w:sz w:val="21"/>
          <w:szCs w:val="21"/>
        </w:rPr>
        <w:t>physiologically,</w:t>
      </w:r>
      <w:r w:rsidR="00D326D3" w:rsidRPr="002F29A6">
        <w:rPr>
          <w:rFonts w:asciiTheme="minorHAnsi" w:eastAsia="Calibri" w:hAnsiTheme="minorHAnsi" w:cs="Calibri"/>
          <w:sz w:val="21"/>
          <w:szCs w:val="21"/>
        </w:rPr>
        <w:t xml:space="preserve"> and </w:t>
      </w:r>
      <w:r w:rsidRPr="002F29A6">
        <w:rPr>
          <w:rFonts w:asciiTheme="minorHAnsi" w:eastAsia="Calibri" w:hAnsiTheme="minorHAnsi" w:cs="Calibri"/>
          <w:sz w:val="21"/>
          <w:szCs w:val="21"/>
        </w:rPr>
        <w:t>politically</w:t>
      </w:r>
      <w:r w:rsidR="00D326D3" w:rsidRPr="002F29A6">
        <w:rPr>
          <w:rFonts w:asciiTheme="minorHAnsi" w:eastAsia="Calibri" w:hAnsiTheme="minorHAnsi" w:cs="Calibri"/>
          <w:sz w:val="21"/>
          <w:szCs w:val="21"/>
        </w:rPr>
        <w:t>.</w:t>
      </w:r>
    </w:p>
    <w:p w:rsidR="0059383D" w:rsidRPr="002F29A6" w:rsidRDefault="0059383D" w:rsidP="004D45FF">
      <w:pPr>
        <w:spacing w:line="240" w:lineRule="auto"/>
        <w:rPr>
          <w:rFonts w:asciiTheme="minorHAnsi" w:hAnsiTheme="minorHAnsi"/>
          <w:sz w:val="21"/>
          <w:szCs w:val="21"/>
        </w:rPr>
      </w:pPr>
    </w:p>
    <w:p w:rsidR="0059383D" w:rsidRPr="002F29A6" w:rsidRDefault="00E12ABC" w:rsidP="004D45FF">
      <w:pPr>
        <w:spacing w:line="240" w:lineRule="auto"/>
        <w:rPr>
          <w:rFonts w:asciiTheme="minorHAnsi" w:eastAsia="Calibri" w:hAnsiTheme="minorHAnsi" w:cs="Calibri"/>
          <w:b/>
          <w:color w:val="0070C0"/>
          <w:sz w:val="21"/>
          <w:szCs w:val="21"/>
        </w:rPr>
      </w:pPr>
      <w:r w:rsidRPr="002F29A6">
        <w:rPr>
          <w:rFonts w:asciiTheme="minorHAnsi" w:eastAsia="Calibri" w:hAnsiTheme="minorHAnsi" w:cs="Calibri"/>
          <w:b/>
          <w:color w:val="0070C0"/>
          <w:sz w:val="21"/>
          <w:szCs w:val="21"/>
        </w:rPr>
        <w:t>Sustainable development requires adequate n</w:t>
      </w:r>
      <w:r w:rsidR="00B2350C" w:rsidRPr="002F29A6">
        <w:rPr>
          <w:rFonts w:asciiTheme="minorHAnsi" w:eastAsia="Calibri" w:hAnsiTheme="minorHAnsi" w:cs="Calibri"/>
          <w:b/>
          <w:color w:val="0070C0"/>
          <w:sz w:val="21"/>
          <w:szCs w:val="21"/>
        </w:rPr>
        <w:t>utrition</w:t>
      </w:r>
    </w:p>
    <w:p w:rsidR="00E12ABC" w:rsidRPr="002F29A6" w:rsidRDefault="00E12ABC" w:rsidP="004D45FF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>Good nutrition is not just an outcome of development, but also a driver</w:t>
      </w:r>
      <w:r w:rsidR="007A37F3">
        <w:rPr>
          <w:rFonts w:asciiTheme="minorHAnsi" w:eastAsia="Calibri" w:hAnsiTheme="minorHAnsi" w:cs="Calibri"/>
          <w:sz w:val="21"/>
          <w:szCs w:val="21"/>
        </w:rPr>
        <w:t xml:space="preserve"> of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D62A6D" w:rsidRPr="002F29A6">
        <w:rPr>
          <w:rFonts w:asciiTheme="minorHAnsi" w:eastAsia="Calibri" w:hAnsiTheme="minorHAnsi" w:cs="Calibri"/>
          <w:sz w:val="21"/>
          <w:szCs w:val="21"/>
        </w:rPr>
        <w:t>economic growth</w:t>
      </w:r>
      <w:r w:rsidR="00D326D3" w:rsidRPr="002F29A6">
        <w:rPr>
          <w:rFonts w:asciiTheme="minorHAnsi" w:eastAsia="Calibri" w:hAnsiTheme="minorHAnsi" w:cs="Calibri"/>
          <w:sz w:val="21"/>
          <w:szCs w:val="21"/>
        </w:rPr>
        <w:t xml:space="preserve"> and 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human development. Ensuring adequate nutrition for all will make </w:t>
      </w:r>
      <w:r w:rsidR="00D326D3" w:rsidRPr="002F29A6">
        <w:rPr>
          <w:rFonts w:asciiTheme="minorHAnsi" w:eastAsia="Calibri" w:hAnsiTheme="minorHAnsi" w:cs="Calibri"/>
          <w:sz w:val="21"/>
          <w:szCs w:val="21"/>
        </w:rPr>
        <w:t xml:space="preserve">vital 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contributions to </w:t>
      </w:r>
      <w:r w:rsidR="00D326D3" w:rsidRPr="002F29A6">
        <w:rPr>
          <w:rFonts w:asciiTheme="minorHAnsi" w:eastAsia="Calibri" w:hAnsiTheme="minorHAnsi" w:cs="Calibri"/>
          <w:sz w:val="21"/>
          <w:szCs w:val="21"/>
        </w:rPr>
        <w:t xml:space="preserve">achieving 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the SDGs and set countries on a strong social and economic growth trajectory. </w:t>
      </w:r>
    </w:p>
    <w:p w:rsidR="00E12ABC" w:rsidRPr="002F29A6" w:rsidRDefault="00E12ABC" w:rsidP="004D45FF">
      <w:pPr>
        <w:spacing w:line="240" w:lineRule="auto"/>
        <w:jc w:val="both"/>
        <w:rPr>
          <w:rFonts w:asciiTheme="minorHAnsi" w:eastAsia="Calibri" w:hAnsiTheme="minorHAnsi" w:cs="Calibri"/>
          <w:sz w:val="21"/>
          <w:szCs w:val="21"/>
        </w:rPr>
      </w:pPr>
    </w:p>
    <w:p w:rsidR="0024431A" w:rsidRPr="002F29A6" w:rsidRDefault="003763FC" w:rsidP="004D45FF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  <w:r w:rsidRPr="002F29A6">
        <w:rPr>
          <w:rFonts w:asciiTheme="minorHAnsi" w:hAnsiTheme="minorHAnsi"/>
          <w:sz w:val="21"/>
          <w:szCs w:val="21"/>
        </w:rPr>
        <w:t xml:space="preserve">The first 1,000 days of a child’s life - from </w:t>
      </w:r>
      <w:r w:rsidR="00614650" w:rsidRPr="002F29A6">
        <w:rPr>
          <w:rFonts w:asciiTheme="minorHAnsi" w:hAnsiTheme="minorHAnsi"/>
          <w:sz w:val="21"/>
          <w:szCs w:val="21"/>
        </w:rPr>
        <w:t xml:space="preserve">the start of </w:t>
      </w:r>
      <w:r w:rsidR="00C46980" w:rsidRPr="002F29A6">
        <w:rPr>
          <w:rFonts w:asciiTheme="minorHAnsi" w:hAnsiTheme="minorHAnsi"/>
          <w:sz w:val="21"/>
          <w:szCs w:val="21"/>
        </w:rPr>
        <w:t>a</w:t>
      </w:r>
      <w:r w:rsidR="00D326D3" w:rsidRPr="002F29A6">
        <w:rPr>
          <w:rFonts w:asciiTheme="minorHAnsi" w:hAnsiTheme="minorHAnsi"/>
          <w:sz w:val="21"/>
          <w:szCs w:val="21"/>
        </w:rPr>
        <w:t xml:space="preserve"> woman’</w:t>
      </w:r>
      <w:r w:rsidR="00D62A6D" w:rsidRPr="002F29A6">
        <w:rPr>
          <w:rFonts w:asciiTheme="minorHAnsi" w:hAnsiTheme="minorHAnsi"/>
          <w:sz w:val="21"/>
          <w:szCs w:val="21"/>
        </w:rPr>
        <w:t>s pregnancy to her</w:t>
      </w:r>
      <w:r w:rsidR="00D326D3" w:rsidRPr="002F29A6">
        <w:rPr>
          <w:rFonts w:asciiTheme="minorHAnsi" w:hAnsiTheme="minorHAnsi"/>
          <w:sz w:val="21"/>
          <w:szCs w:val="21"/>
        </w:rPr>
        <w:t xml:space="preserve"> child’s 2</w:t>
      </w:r>
      <w:r w:rsidR="00D326D3" w:rsidRPr="002F29A6">
        <w:rPr>
          <w:rFonts w:asciiTheme="minorHAnsi" w:hAnsiTheme="minorHAnsi"/>
          <w:sz w:val="21"/>
          <w:szCs w:val="21"/>
          <w:vertAlign w:val="superscript"/>
        </w:rPr>
        <w:t>nd</w:t>
      </w:r>
      <w:r w:rsidR="00D326D3" w:rsidRPr="002F29A6">
        <w:rPr>
          <w:rFonts w:asciiTheme="minorHAnsi" w:hAnsiTheme="minorHAnsi"/>
          <w:sz w:val="21"/>
          <w:szCs w:val="21"/>
        </w:rPr>
        <w:t xml:space="preserve"> birthday</w:t>
      </w:r>
      <w:r w:rsidRPr="002F29A6">
        <w:rPr>
          <w:rFonts w:asciiTheme="minorHAnsi" w:hAnsiTheme="minorHAnsi"/>
          <w:sz w:val="21"/>
          <w:szCs w:val="21"/>
        </w:rPr>
        <w:t xml:space="preserve"> - is the window of opportunity to take action and prevent irreversible damages caused by poor nutrition. </w:t>
      </w:r>
      <w:r w:rsidR="00614650" w:rsidRPr="002F29A6">
        <w:rPr>
          <w:rFonts w:asciiTheme="minorHAnsi" w:hAnsiTheme="minorHAnsi"/>
          <w:sz w:val="21"/>
          <w:szCs w:val="21"/>
        </w:rPr>
        <w:t>E</w:t>
      </w:r>
      <w:r w:rsidR="00D62A6D" w:rsidRPr="002F29A6">
        <w:rPr>
          <w:rFonts w:asciiTheme="minorHAnsi" w:hAnsiTheme="minorHAnsi"/>
          <w:sz w:val="21"/>
          <w:szCs w:val="21"/>
        </w:rPr>
        <w:t xml:space="preserve">nsuring </w:t>
      </w:r>
      <w:r w:rsidR="00A56059" w:rsidRPr="002F29A6">
        <w:rPr>
          <w:rFonts w:asciiTheme="minorHAnsi" w:hAnsiTheme="minorHAnsi"/>
          <w:sz w:val="21"/>
          <w:szCs w:val="21"/>
        </w:rPr>
        <w:t>good nutrition for</w:t>
      </w:r>
      <w:r w:rsidR="00D62A6D" w:rsidRPr="002F29A6">
        <w:rPr>
          <w:rFonts w:asciiTheme="minorHAnsi" w:hAnsiTheme="minorHAnsi"/>
          <w:sz w:val="21"/>
          <w:szCs w:val="21"/>
        </w:rPr>
        <w:t xml:space="preserve"> women and</w:t>
      </w:r>
      <w:r w:rsidR="00A56059" w:rsidRPr="002F29A6">
        <w:rPr>
          <w:rFonts w:asciiTheme="minorHAnsi" w:hAnsiTheme="minorHAnsi"/>
          <w:sz w:val="21"/>
          <w:szCs w:val="21"/>
        </w:rPr>
        <w:t xml:space="preserve"> adolescent girls is critical to lay</w:t>
      </w:r>
      <w:r w:rsidR="007A37F3">
        <w:rPr>
          <w:rFonts w:asciiTheme="minorHAnsi" w:hAnsiTheme="minorHAnsi"/>
          <w:sz w:val="21"/>
          <w:szCs w:val="21"/>
        </w:rPr>
        <w:t>ing</w:t>
      </w:r>
      <w:r w:rsidR="00A56059" w:rsidRPr="002F29A6">
        <w:rPr>
          <w:rFonts w:asciiTheme="minorHAnsi" w:hAnsiTheme="minorHAnsi"/>
          <w:sz w:val="21"/>
          <w:szCs w:val="21"/>
        </w:rPr>
        <w:t xml:space="preserve"> a strong foundation for healthy and productive adults and children.</w:t>
      </w:r>
      <w:r w:rsidR="00C46980" w:rsidRPr="002F29A6">
        <w:rPr>
          <w:rFonts w:asciiTheme="minorHAnsi" w:hAnsiTheme="minorHAnsi"/>
          <w:sz w:val="21"/>
          <w:szCs w:val="21"/>
        </w:rPr>
        <w:t xml:space="preserve"> </w:t>
      </w:r>
      <w:r w:rsidR="00A56059" w:rsidRPr="002F29A6">
        <w:rPr>
          <w:rFonts w:asciiTheme="minorHAnsi" w:hAnsiTheme="minorHAnsi"/>
          <w:sz w:val="21"/>
          <w:szCs w:val="21"/>
        </w:rPr>
        <w:t xml:space="preserve">Undernourished women are likely to give birth to children prone to stunting, wasting, and micronutrient deficiencies </w:t>
      </w:r>
      <w:r w:rsidR="006B2EBE" w:rsidRPr="006B2EBE">
        <w:rPr>
          <w:rFonts w:asciiTheme="minorHAnsi" w:hAnsiTheme="minorHAnsi"/>
          <w:sz w:val="21"/>
          <w:szCs w:val="21"/>
        </w:rPr>
        <w:t xml:space="preserve">which prevent them from attaining their </w:t>
      </w:r>
      <w:r w:rsidR="006B2EBE">
        <w:rPr>
          <w:rFonts w:asciiTheme="minorHAnsi" w:hAnsiTheme="minorHAnsi"/>
          <w:sz w:val="21"/>
          <w:szCs w:val="21"/>
        </w:rPr>
        <w:t xml:space="preserve">full </w:t>
      </w:r>
      <w:r w:rsidR="006B2EBE" w:rsidRPr="006B2EBE">
        <w:rPr>
          <w:rFonts w:asciiTheme="minorHAnsi" w:hAnsiTheme="minorHAnsi"/>
          <w:sz w:val="21"/>
          <w:szCs w:val="21"/>
        </w:rPr>
        <w:t>growth and future economic potential</w:t>
      </w:r>
      <w:r w:rsidR="00A56059" w:rsidRPr="002F29A6">
        <w:rPr>
          <w:rFonts w:asciiTheme="minorHAnsi" w:hAnsiTheme="minorHAnsi"/>
          <w:sz w:val="21"/>
          <w:szCs w:val="21"/>
        </w:rPr>
        <w:t xml:space="preserve">. Thus, undernutrition pushes individuals into a vicious cycle of ill health, poverty, and </w:t>
      </w:r>
      <w:r w:rsidR="00D62A6D" w:rsidRPr="002F29A6">
        <w:rPr>
          <w:rFonts w:asciiTheme="minorHAnsi" w:hAnsiTheme="minorHAnsi"/>
          <w:sz w:val="21"/>
          <w:szCs w:val="21"/>
        </w:rPr>
        <w:t xml:space="preserve">unnecessary </w:t>
      </w:r>
      <w:r w:rsidR="00A56059" w:rsidRPr="002F29A6">
        <w:rPr>
          <w:rFonts w:asciiTheme="minorHAnsi" w:hAnsiTheme="minorHAnsi"/>
          <w:sz w:val="21"/>
          <w:szCs w:val="21"/>
        </w:rPr>
        <w:t>suffering</w:t>
      </w:r>
      <w:r w:rsidR="00BB5568" w:rsidRPr="002F29A6">
        <w:rPr>
          <w:rFonts w:asciiTheme="minorHAnsi" w:hAnsiTheme="minorHAnsi"/>
          <w:sz w:val="21"/>
          <w:szCs w:val="21"/>
        </w:rPr>
        <w:t xml:space="preserve"> perpetuated across generations</w:t>
      </w:r>
      <w:r w:rsidR="00A56059" w:rsidRPr="002F29A6">
        <w:rPr>
          <w:rFonts w:asciiTheme="minorHAnsi" w:hAnsiTheme="minorHAnsi"/>
          <w:sz w:val="21"/>
          <w:szCs w:val="21"/>
        </w:rPr>
        <w:t>.</w:t>
      </w:r>
      <w:r w:rsidR="00BB5568" w:rsidRPr="002F29A6">
        <w:rPr>
          <w:rFonts w:asciiTheme="minorHAnsi" w:hAnsiTheme="minorHAnsi"/>
          <w:sz w:val="21"/>
          <w:szCs w:val="21"/>
        </w:rPr>
        <w:t xml:space="preserve"> </w:t>
      </w:r>
      <w:r w:rsidR="005D79B4">
        <w:rPr>
          <w:rFonts w:asciiTheme="minorHAnsi" w:hAnsiTheme="minorHAnsi"/>
          <w:sz w:val="21"/>
          <w:szCs w:val="21"/>
        </w:rPr>
        <w:t>Furthermore, u</w:t>
      </w:r>
      <w:r w:rsidR="0024431A" w:rsidRPr="002F29A6">
        <w:rPr>
          <w:rFonts w:ascii="Calibri" w:hAnsi="Calibri"/>
          <w:sz w:val="21"/>
          <w:szCs w:val="21"/>
        </w:rPr>
        <w:t>ndernutrition in the womb also sets the stage for non-communicable diseases in later life</w:t>
      </w:r>
      <w:r w:rsidR="005D79B4">
        <w:rPr>
          <w:rFonts w:ascii="Calibri" w:hAnsi="Calibri"/>
          <w:sz w:val="21"/>
          <w:szCs w:val="21"/>
        </w:rPr>
        <w:t>.</w:t>
      </w:r>
    </w:p>
    <w:p w:rsidR="00C46980" w:rsidRPr="002F29A6" w:rsidRDefault="00C46980" w:rsidP="004D45FF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</w:p>
    <w:p w:rsidR="0059383D" w:rsidRPr="002F29A6" w:rsidRDefault="00B2350C" w:rsidP="004D45FF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 xml:space="preserve">Overweight and obesity 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>negatively impact strides in development, as they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increase the risk of developing </w:t>
      </w:r>
      <w:r w:rsidR="00A56059" w:rsidRPr="002F29A6">
        <w:rPr>
          <w:rFonts w:asciiTheme="minorHAnsi" w:eastAsia="Calibri" w:hAnsiTheme="minorHAnsi" w:cs="Calibri"/>
          <w:sz w:val="21"/>
          <w:szCs w:val="21"/>
        </w:rPr>
        <w:t xml:space="preserve">non-communicable 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diseases such as diabetes and heart disease. </w:t>
      </w:r>
      <w:r w:rsidR="00905FB9">
        <w:rPr>
          <w:rFonts w:asciiTheme="minorHAnsi" w:eastAsia="Calibri" w:hAnsiTheme="minorHAnsi" w:cs="Calibri"/>
          <w:sz w:val="21"/>
          <w:szCs w:val="21"/>
        </w:rPr>
        <w:t xml:space="preserve">They </w:t>
      </w:r>
      <w:r w:rsidR="001476DF">
        <w:rPr>
          <w:rFonts w:asciiTheme="minorHAnsi" w:eastAsia="Calibri" w:hAnsiTheme="minorHAnsi" w:cs="Calibri"/>
          <w:sz w:val="21"/>
          <w:szCs w:val="21"/>
        </w:rPr>
        <w:t>are</w:t>
      </w:r>
      <w:r w:rsidR="00905FB9">
        <w:rPr>
          <w:rFonts w:asciiTheme="minorHAnsi" w:eastAsia="Calibri" w:hAnsiTheme="minorHAnsi" w:cs="Calibri"/>
          <w:sz w:val="21"/>
          <w:szCs w:val="21"/>
        </w:rPr>
        <w:t xml:space="preserve"> a high burden for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 xml:space="preserve"> health systems and result in </w:t>
      </w:r>
      <w:r w:rsidRPr="002F29A6">
        <w:rPr>
          <w:rFonts w:asciiTheme="minorHAnsi" w:eastAsia="Calibri" w:hAnsiTheme="minorHAnsi" w:cs="Calibri"/>
          <w:sz w:val="21"/>
          <w:szCs w:val="21"/>
        </w:rPr>
        <w:t>lower productivity, lower incomes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 xml:space="preserve"> and even premature deaths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. </w:t>
      </w:r>
    </w:p>
    <w:p w:rsidR="0059383D" w:rsidRPr="002F29A6" w:rsidRDefault="0059383D" w:rsidP="004D45FF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</w:p>
    <w:p w:rsidR="0059383D" w:rsidRPr="002F29A6" w:rsidRDefault="00E12ABC" w:rsidP="004D45FF">
      <w:pPr>
        <w:spacing w:line="240" w:lineRule="auto"/>
        <w:rPr>
          <w:rFonts w:asciiTheme="minorHAnsi" w:eastAsia="Calibri" w:hAnsiTheme="minorHAnsi" w:cs="Calibri"/>
          <w:b/>
          <w:color w:val="0070C0"/>
          <w:sz w:val="21"/>
          <w:szCs w:val="21"/>
        </w:rPr>
      </w:pPr>
      <w:r w:rsidRPr="002F29A6">
        <w:rPr>
          <w:rFonts w:asciiTheme="minorHAnsi" w:eastAsia="Calibri" w:hAnsiTheme="minorHAnsi" w:cs="Calibri"/>
          <w:b/>
          <w:color w:val="0070C0"/>
          <w:sz w:val="21"/>
          <w:szCs w:val="21"/>
        </w:rPr>
        <w:t>The human and economic costs of NOT addressing malnutrition are h</w:t>
      </w:r>
      <w:r w:rsidR="00B2350C" w:rsidRPr="002F29A6">
        <w:rPr>
          <w:rFonts w:asciiTheme="minorHAnsi" w:eastAsia="Calibri" w:hAnsiTheme="minorHAnsi" w:cs="Calibri"/>
          <w:b/>
          <w:color w:val="0070C0"/>
          <w:sz w:val="21"/>
          <w:szCs w:val="21"/>
        </w:rPr>
        <w:t>igh</w:t>
      </w:r>
    </w:p>
    <w:p w:rsidR="0059383D" w:rsidRDefault="00B2350C" w:rsidP="004D45FF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>Undernutrition, micronutrient deficiencies and overweight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 xml:space="preserve"> and obesity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are 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 xml:space="preserve">all </w:t>
      </w:r>
      <w:r w:rsidRPr="002F29A6">
        <w:rPr>
          <w:rFonts w:asciiTheme="minorHAnsi" w:eastAsia="Calibri" w:hAnsiTheme="minorHAnsi" w:cs="Calibri"/>
          <w:sz w:val="21"/>
          <w:szCs w:val="21"/>
        </w:rPr>
        <w:t>preventable conditi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>ons.</w:t>
      </w:r>
      <w:r w:rsidR="0024431A"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D7319C" w:rsidRPr="002F29A6">
        <w:rPr>
          <w:rFonts w:asciiTheme="minorHAnsi" w:hAnsiTheme="minorHAnsi"/>
          <w:sz w:val="21"/>
          <w:szCs w:val="21"/>
        </w:rPr>
        <w:t>Timely investment in preventive strategies for these conditions early in one’s life can mitigate both the long term consequences and large costs across one’s lifespan.</w:t>
      </w:r>
    </w:p>
    <w:p w:rsidR="00D7319C" w:rsidRPr="002F29A6" w:rsidRDefault="00D7319C" w:rsidP="004D45FF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</w:p>
    <w:p w:rsidR="003D5744" w:rsidRPr="002F29A6" w:rsidRDefault="00B2350C" w:rsidP="004D45FF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 xml:space="preserve">Undernutrition and micronutrient deficiencies during the first 1,000 days of life can 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>reduce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24431A" w:rsidRPr="002F29A6">
        <w:rPr>
          <w:rFonts w:asciiTheme="minorHAnsi" w:eastAsia="Calibri" w:hAnsiTheme="minorHAnsi" w:cs="Calibri"/>
          <w:sz w:val="21"/>
          <w:szCs w:val="21"/>
        </w:rPr>
        <w:t xml:space="preserve">a 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child’s IQ by up to 10%. </w:t>
      </w:r>
      <w:r w:rsidR="001476DF">
        <w:rPr>
          <w:rFonts w:asciiTheme="minorHAnsi" w:eastAsia="Calibri" w:hAnsiTheme="minorHAnsi" w:cs="Calibri"/>
          <w:sz w:val="21"/>
          <w:szCs w:val="21"/>
        </w:rPr>
        <w:t>Undernourished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E12ABC" w:rsidRPr="002F29A6">
        <w:rPr>
          <w:rFonts w:asciiTheme="minorHAnsi" w:eastAsia="Calibri" w:hAnsiTheme="minorHAnsi" w:cs="Calibri"/>
          <w:sz w:val="21"/>
          <w:szCs w:val="21"/>
        </w:rPr>
        <w:t>c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hildren are </w:t>
      </w:r>
      <w:r w:rsidR="00D45F3B" w:rsidRPr="002F29A6">
        <w:rPr>
          <w:rFonts w:asciiTheme="minorHAnsi" w:eastAsia="Calibri" w:hAnsiTheme="minorHAnsi" w:cs="Calibri"/>
          <w:sz w:val="21"/>
          <w:szCs w:val="21"/>
        </w:rPr>
        <w:t xml:space="preserve">therefore 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likely to complete </w:t>
      </w:r>
      <w:r w:rsidR="00D326D3" w:rsidRPr="002F29A6">
        <w:rPr>
          <w:rFonts w:asciiTheme="minorHAnsi" w:eastAsia="Calibri" w:hAnsiTheme="minorHAnsi" w:cs="Calibri"/>
          <w:sz w:val="21"/>
          <w:szCs w:val="21"/>
        </w:rPr>
        <w:t xml:space="preserve">fewer 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years of school and have a reduced earning potential of at least 10% </w:t>
      </w:r>
      <w:r w:rsidR="00D326D3" w:rsidRPr="002F29A6">
        <w:rPr>
          <w:rFonts w:asciiTheme="minorHAnsi" w:eastAsia="Calibri" w:hAnsiTheme="minorHAnsi" w:cs="Calibri"/>
          <w:sz w:val="21"/>
          <w:szCs w:val="21"/>
        </w:rPr>
        <w:t xml:space="preserve">of </w:t>
      </w:r>
      <w:r w:rsidRPr="002F29A6">
        <w:rPr>
          <w:rFonts w:asciiTheme="minorHAnsi" w:eastAsia="Calibri" w:hAnsiTheme="minorHAnsi" w:cs="Calibri"/>
          <w:sz w:val="21"/>
          <w:szCs w:val="21"/>
        </w:rPr>
        <w:t>their lifetime earnings.</w:t>
      </w:r>
      <w:r w:rsidR="003D5744" w:rsidRPr="002F29A6">
        <w:rPr>
          <w:rFonts w:asciiTheme="minorHAnsi" w:eastAsia="Calibri" w:hAnsiTheme="minorHAnsi" w:cs="Calibri"/>
          <w:sz w:val="21"/>
          <w:szCs w:val="21"/>
          <w:vertAlign w:val="superscript"/>
        </w:rPr>
        <w:endnoteReference w:id="1"/>
      </w:r>
      <w:r w:rsidR="003D5744"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D45F3B" w:rsidRPr="002F29A6">
        <w:rPr>
          <w:rFonts w:asciiTheme="minorHAnsi" w:eastAsia="Calibri" w:hAnsiTheme="minorHAnsi" w:cs="Calibri"/>
          <w:sz w:val="21"/>
          <w:szCs w:val="21"/>
        </w:rPr>
        <w:t>Collectively t</w:t>
      </w:r>
      <w:r w:rsidR="003D5744" w:rsidRPr="002F29A6">
        <w:rPr>
          <w:rFonts w:asciiTheme="minorHAnsi" w:eastAsia="Calibri" w:hAnsiTheme="minorHAnsi" w:cs="Calibri"/>
          <w:sz w:val="21"/>
          <w:szCs w:val="21"/>
        </w:rPr>
        <w:t>he costs of poor nutriti</w:t>
      </w:r>
      <w:r w:rsidR="00D45F3B" w:rsidRPr="002F29A6">
        <w:rPr>
          <w:rFonts w:asciiTheme="minorHAnsi" w:eastAsia="Calibri" w:hAnsiTheme="minorHAnsi" w:cs="Calibri"/>
          <w:sz w:val="21"/>
          <w:szCs w:val="21"/>
        </w:rPr>
        <w:t xml:space="preserve">on </w:t>
      </w:r>
      <w:r w:rsidR="00916837" w:rsidRPr="002F29A6">
        <w:rPr>
          <w:rFonts w:asciiTheme="minorHAnsi" w:eastAsia="Calibri" w:hAnsiTheme="minorHAnsi" w:cs="Calibri"/>
          <w:sz w:val="21"/>
          <w:szCs w:val="21"/>
        </w:rPr>
        <w:t xml:space="preserve">as a result of impaired national </w:t>
      </w:r>
      <w:r w:rsidR="0024431A" w:rsidRPr="002F29A6">
        <w:rPr>
          <w:rFonts w:asciiTheme="minorHAnsi" w:eastAsia="Calibri" w:hAnsiTheme="minorHAnsi" w:cs="Calibri"/>
          <w:sz w:val="21"/>
          <w:szCs w:val="21"/>
        </w:rPr>
        <w:t>productivity</w:t>
      </w:r>
      <w:r w:rsidR="00916837"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3D5744" w:rsidRPr="002F29A6">
        <w:rPr>
          <w:rFonts w:asciiTheme="minorHAnsi" w:eastAsia="Calibri" w:hAnsiTheme="minorHAnsi" w:cs="Calibri"/>
          <w:sz w:val="21"/>
          <w:szCs w:val="21"/>
        </w:rPr>
        <w:t>represent a</w:t>
      </w:r>
      <w:r w:rsidR="00B87DCC" w:rsidRPr="002F29A6">
        <w:rPr>
          <w:rFonts w:asciiTheme="minorHAnsi" w:eastAsia="Calibri" w:hAnsiTheme="minorHAnsi" w:cs="Calibri"/>
          <w:sz w:val="21"/>
          <w:szCs w:val="21"/>
        </w:rPr>
        <w:t>n estimated</w:t>
      </w:r>
      <w:r w:rsidR="003D5744"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770B8D" w:rsidRPr="002F29A6">
        <w:rPr>
          <w:rFonts w:asciiTheme="minorHAnsi" w:eastAsia="Calibri" w:hAnsiTheme="minorHAnsi" w:cs="Calibri"/>
          <w:sz w:val="21"/>
          <w:szCs w:val="21"/>
        </w:rPr>
        <w:t>loss of 2-3% of a country’s GDP</w:t>
      </w:r>
      <w:proofErr w:type="gramStart"/>
      <w:r w:rsidR="0024431A" w:rsidRPr="002F29A6">
        <w:rPr>
          <w:rFonts w:asciiTheme="minorHAnsi" w:eastAsia="Calibri" w:hAnsiTheme="minorHAnsi" w:cs="Calibri"/>
          <w:sz w:val="21"/>
          <w:szCs w:val="21"/>
        </w:rPr>
        <w:t>,</w:t>
      </w:r>
      <w:r w:rsidR="003D5744" w:rsidRPr="002F29A6">
        <w:rPr>
          <w:rFonts w:asciiTheme="minorHAnsi" w:eastAsia="Calibri" w:hAnsiTheme="minorHAnsi" w:cs="Calibri"/>
          <w:sz w:val="21"/>
          <w:szCs w:val="21"/>
          <w:vertAlign w:val="superscript"/>
        </w:rPr>
        <w:t>1</w:t>
      </w:r>
      <w:proofErr w:type="gramEnd"/>
      <w:r w:rsidR="00770B8D"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B87DCC" w:rsidRPr="002F29A6">
        <w:rPr>
          <w:rFonts w:asciiTheme="minorHAnsi" w:eastAsia="Calibri" w:hAnsiTheme="minorHAnsi" w:cs="Calibri"/>
          <w:sz w:val="21"/>
          <w:szCs w:val="21"/>
        </w:rPr>
        <w:t>yet</w:t>
      </w:r>
      <w:r w:rsidR="00916837" w:rsidRPr="002F29A6">
        <w:rPr>
          <w:rFonts w:asciiTheme="minorHAnsi" w:eastAsia="Calibri" w:hAnsiTheme="minorHAnsi" w:cs="Calibri"/>
          <w:sz w:val="21"/>
          <w:szCs w:val="21"/>
        </w:rPr>
        <w:t xml:space="preserve"> these losses can be as</w:t>
      </w:r>
      <w:r w:rsidR="00770B8D" w:rsidRPr="002F29A6">
        <w:rPr>
          <w:rFonts w:asciiTheme="minorHAnsi" w:eastAsia="Calibri" w:hAnsiTheme="minorHAnsi" w:cs="Calibri"/>
          <w:sz w:val="21"/>
          <w:szCs w:val="21"/>
        </w:rPr>
        <w:t xml:space="preserve"> high as 16%.</w:t>
      </w:r>
      <w:r w:rsidR="00916837" w:rsidRPr="002F29A6">
        <w:rPr>
          <w:rStyle w:val="EndnoteReference"/>
          <w:rFonts w:asciiTheme="minorHAnsi" w:eastAsia="Calibri" w:hAnsiTheme="minorHAnsi" w:cs="Calibri"/>
          <w:sz w:val="21"/>
          <w:szCs w:val="21"/>
        </w:rPr>
        <w:endnoteReference w:id="2"/>
      </w:r>
      <w:r w:rsidR="003D5744"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D45F3B" w:rsidRPr="002F29A6">
        <w:rPr>
          <w:rFonts w:asciiTheme="minorHAnsi" w:eastAsia="Calibri" w:hAnsiTheme="minorHAnsi" w:cs="Calibri"/>
          <w:sz w:val="21"/>
          <w:szCs w:val="21"/>
        </w:rPr>
        <w:t>Furthermore</w:t>
      </w:r>
      <w:r w:rsidR="001476DF">
        <w:rPr>
          <w:rFonts w:asciiTheme="minorHAnsi" w:eastAsia="Calibri" w:hAnsiTheme="minorHAnsi" w:cs="Calibri"/>
          <w:sz w:val="21"/>
          <w:szCs w:val="21"/>
        </w:rPr>
        <w:t>,</w:t>
      </w:r>
      <w:r w:rsidR="003D5744" w:rsidRPr="002F29A6">
        <w:rPr>
          <w:rFonts w:asciiTheme="minorHAnsi" w:eastAsia="Calibri" w:hAnsiTheme="minorHAnsi" w:cs="Calibri"/>
          <w:sz w:val="21"/>
          <w:szCs w:val="21"/>
        </w:rPr>
        <w:t xml:space="preserve"> it contributes to 45% of deaths of children </w:t>
      </w:r>
      <w:proofErr w:type="gramStart"/>
      <w:r w:rsidR="003D5744" w:rsidRPr="002F29A6">
        <w:rPr>
          <w:rFonts w:asciiTheme="minorHAnsi" w:eastAsia="Calibri" w:hAnsiTheme="minorHAnsi" w:cs="Calibri"/>
          <w:sz w:val="21"/>
          <w:szCs w:val="21"/>
        </w:rPr>
        <w:t>under</w:t>
      </w:r>
      <w:proofErr w:type="gramEnd"/>
      <w:r w:rsidR="003D5744" w:rsidRPr="002F29A6">
        <w:rPr>
          <w:rFonts w:asciiTheme="minorHAnsi" w:eastAsia="Calibri" w:hAnsiTheme="minorHAnsi" w:cs="Calibri"/>
          <w:sz w:val="21"/>
          <w:szCs w:val="21"/>
        </w:rPr>
        <w:t xml:space="preserve"> 5 years of age and </w:t>
      </w:r>
      <w:r w:rsidR="00D45F3B" w:rsidRPr="002F29A6">
        <w:rPr>
          <w:rFonts w:asciiTheme="minorHAnsi" w:eastAsia="Calibri" w:hAnsiTheme="minorHAnsi" w:cs="Calibri"/>
          <w:sz w:val="21"/>
          <w:szCs w:val="21"/>
        </w:rPr>
        <w:t>approximately</w:t>
      </w:r>
      <w:r w:rsidR="003D5744" w:rsidRPr="002F29A6">
        <w:rPr>
          <w:rFonts w:asciiTheme="minorHAnsi" w:eastAsia="Calibri" w:hAnsiTheme="minorHAnsi" w:cs="Calibri"/>
          <w:sz w:val="21"/>
          <w:szCs w:val="21"/>
        </w:rPr>
        <w:t xml:space="preserve"> 40% of maternal deaths. </w:t>
      </w:r>
    </w:p>
    <w:p w:rsidR="003D5744" w:rsidRPr="002F29A6" w:rsidRDefault="003D5744" w:rsidP="004D45FF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</w:p>
    <w:p w:rsidR="00C13D93" w:rsidRDefault="003D5744" w:rsidP="004D45FF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 xml:space="preserve">Overweight and obesity </w:t>
      </w:r>
      <w:r w:rsidR="00D45F3B" w:rsidRPr="002F29A6">
        <w:rPr>
          <w:rFonts w:asciiTheme="minorHAnsi" w:eastAsia="Calibri" w:hAnsiTheme="minorHAnsi" w:cs="Calibri"/>
          <w:sz w:val="21"/>
          <w:szCs w:val="21"/>
        </w:rPr>
        <w:t xml:space="preserve">rates 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are on the rise </w:t>
      </w:r>
      <w:r w:rsidR="00BF2568" w:rsidRPr="002F29A6">
        <w:rPr>
          <w:rFonts w:asciiTheme="minorHAnsi" w:eastAsia="Calibri" w:hAnsiTheme="minorHAnsi" w:cs="Calibri"/>
          <w:sz w:val="21"/>
          <w:szCs w:val="21"/>
        </w:rPr>
        <w:t xml:space="preserve">across all regions of the world, </w:t>
      </w:r>
      <w:r w:rsidR="00D45F3B" w:rsidRPr="002F29A6">
        <w:rPr>
          <w:rFonts w:asciiTheme="minorHAnsi" w:hAnsiTheme="minorHAnsi"/>
          <w:sz w:val="21"/>
          <w:szCs w:val="21"/>
        </w:rPr>
        <w:t>of which direct costs are estimated to account for 5-10% of a country’s health care spending.</w:t>
      </w:r>
      <w:r w:rsidR="00D84510" w:rsidRPr="002F29A6">
        <w:rPr>
          <w:rStyle w:val="EndnoteReference"/>
          <w:rFonts w:asciiTheme="minorHAnsi" w:hAnsiTheme="minorHAnsi"/>
          <w:sz w:val="21"/>
          <w:szCs w:val="21"/>
        </w:rPr>
        <w:endnoteReference w:id="3"/>
      </w:r>
      <w:r w:rsidR="00D45F3B" w:rsidRPr="002F29A6">
        <w:rPr>
          <w:rFonts w:asciiTheme="minorHAnsi" w:hAnsiTheme="minorHAnsi"/>
          <w:sz w:val="21"/>
          <w:szCs w:val="21"/>
        </w:rPr>
        <w:t xml:space="preserve"> Indirect costs, such as reduced productivity and premature mortality, are also incurred. In totality, direct and indirect global costs of overweight and obese persons are currently estimated at $2 trillion.</w:t>
      </w:r>
      <w:r w:rsidR="00D84510" w:rsidRPr="002F29A6">
        <w:rPr>
          <w:rStyle w:val="EndnoteReference"/>
          <w:rFonts w:asciiTheme="minorHAnsi" w:hAnsiTheme="minorHAnsi"/>
          <w:sz w:val="21"/>
          <w:szCs w:val="21"/>
        </w:rPr>
        <w:endnoteReference w:id="4"/>
      </w:r>
      <w:r w:rsidR="00D45F3B" w:rsidRPr="002F29A6">
        <w:rPr>
          <w:rFonts w:asciiTheme="minorHAnsi" w:hAnsiTheme="minorHAnsi"/>
          <w:sz w:val="21"/>
          <w:szCs w:val="21"/>
        </w:rPr>
        <w:t xml:space="preserve"> </w:t>
      </w:r>
    </w:p>
    <w:p w:rsidR="0062782F" w:rsidRDefault="0062782F" w:rsidP="004D45FF">
      <w:pPr>
        <w:spacing w:line="240" w:lineRule="auto"/>
        <w:rPr>
          <w:rFonts w:asciiTheme="minorHAnsi" w:eastAsia="Calibri" w:hAnsiTheme="minorHAnsi" w:cs="Calibri"/>
          <w:b/>
          <w:color w:val="0070C0"/>
          <w:sz w:val="21"/>
          <w:szCs w:val="21"/>
        </w:rPr>
      </w:pPr>
    </w:p>
    <w:p w:rsidR="003D5744" w:rsidRPr="002F29A6" w:rsidRDefault="00444D49" w:rsidP="004D45FF">
      <w:pPr>
        <w:spacing w:line="240" w:lineRule="auto"/>
        <w:rPr>
          <w:rFonts w:asciiTheme="minorHAnsi" w:eastAsia="Calibri" w:hAnsiTheme="minorHAnsi" w:cs="Calibri"/>
          <w:b/>
          <w:color w:val="0070C0"/>
          <w:sz w:val="21"/>
          <w:szCs w:val="21"/>
        </w:rPr>
      </w:pPr>
      <w:r w:rsidRPr="002F29A6">
        <w:rPr>
          <w:rFonts w:asciiTheme="minorHAnsi" w:eastAsia="Calibri" w:hAnsiTheme="minorHAnsi" w:cs="Calibri"/>
          <w:b/>
          <w:color w:val="0070C0"/>
          <w:sz w:val="21"/>
          <w:szCs w:val="21"/>
        </w:rPr>
        <w:t>Invest</w:t>
      </w:r>
      <w:r w:rsidR="003D5744" w:rsidRPr="002F29A6">
        <w:rPr>
          <w:rFonts w:asciiTheme="minorHAnsi" w:eastAsia="Calibri" w:hAnsiTheme="minorHAnsi" w:cs="Calibri"/>
          <w:b/>
          <w:color w:val="0070C0"/>
          <w:sz w:val="21"/>
          <w:szCs w:val="21"/>
        </w:rPr>
        <w:t>ing in nutrition has high human and economic returns</w:t>
      </w:r>
    </w:p>
    <w:p w:rsidR="001C69C5" w:rsidRDefault="002B4A12" w:rsidP="004D45F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1"/>
          <w:szCs w:val="21"/>
        </w:rPr>
      </w:pPr>
      <w:r w:rsidRPr="002F29A6">
        <w:rPr>
          <w:rFonts w:asciiTheme="minorHAnsi" w:hAnsiTheme="minorHAnsi"/>
          <w:color w:val="000000"/>
          <w:sz w:val="21"/>
          <w:szCs w:val="21"/>
        </w:rPr>
        <w:t>I</w:t>
      </w:r>
      <w:r w:rsidR="001C69C5" w:rsidRPr="002F29A6">
        <w:rPr>
          <w:rFonts w:asciiTheme="minorHAnsi" w:hAnsiTheme="minorHAnsi"/>
          <w:color w:val="000000"/>
          <w:sz w:val="21"/>
          <w:szCs w:val="21"/>
        </w:rPr>
        <w:t xml:space="preserve">nvestments in good nutrition are competitive with investments in roads, irrigation, and </w:t>
      </w:r>
      <w:r w:rsidR="00612265" w:rsidRPr="002F29A6">
        <w:rPr>
          <w:rFonts w:asciiTheme="minorHAnsi" w:eastAsia="Calibri" w:hAnsiTheme="minorHAnsi" w:cs="Calibri"/>
          <w:sz w:val="21"/>
          <w:szCs w:val="21"/>
        </w:rPr>
        <w:t>health</w:t>
      </w:r>
      <w:r w:rsidR="00612265" w:rsidRPr="002F29A6">
        <w:rPr>
          <w:rFonts w:asciiTheme="minorHAnsi" w:eastAsia="Calibri" w:hAnsiTheme="minorHAnsi" w:cs="Calibri"/>
          <w:sz w:val="21"/>
          <w:szCs w:val="21"/>
          <w:vertAlign w:val="superscript"/>
        </w:rPr>
        <w:endnoteReference w:id="5"/>
      </w:r>
      <w:r w:rsidR="00612265"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1C69C5" w:rsidRPr="002F29A6">
        <w:rPr>
          <w:rFonts w:asciiTheme="minorHAnsi" w:hAnsiTheme="minorHAnsi"/>
          <w:color w:val="000000"/>
          <w:sz w:val="21"/>
          <w:szCs w:val="21"/>
        </w:rPr>
        <w:t xml:space="preserve">as </w:t>
      </w:r>
      <w:r w:rsidR="00AB659F">
        <w:rPr>
          <w:rFonts w:asciiTheme="minorHAnsi" w:hAnsiTheme="minorHAnsi"/>
          <w:color w:val="000000"/>
          <w:sz w:val="21"/>
          <w:szCs w:val="21"/>
        </w:rPr>
        <w:t>they</w:t>
      </w:r>
      <w:r w:rsidR="001C69C5" w:rsidRPr="002F29A6">
        <w:rPr>
          <w:rFonts w:asciiTheme="minorHAnsi" w:hAnsiTheme="minorHAnsi"/>
          <w:color w:val="000000"/>
          <w:sz w:val="21"/>
          <w:szCs w:val="21"/>
        </w:rPr>
        <w:t xml:space="preserve"> are associated with better health and education outcomes, and increased productivity. </w:t>
      </w:r>
      <w:r w:rsidR="00FF5549" w:rsidRPr="002F29A6">
        <w:rPr>
          <w:rFonts w:asciiTheme="minorHAnsi" w:hAnsiTheme="minorHAnsi"/>
          <w:color w:val="000000"/>
          <w:sz w:val="21"/>
          <w:szCs w:val="21"/>
        </w:rPr>
        <w:t xml:space="preserve">Moreover, there is evidence to show the benefits of low-cost and high-impact interventions to address poor nutrition. </w:t>
      </w:r>
      <w:r w:rsidR="001C69C5" w:rsidRPr="002F29A6">
        <w:rPr>
          <w:rFonts w:asciiTheme="minorHAnsi" w:hAnsiTheme="minorHAnsi"/>
          <w:color w:val="000000"/>
          <w:sz w:val="21"/>
          <w:szCs w:val="21"/>
        </w:rPr>
        <w:t xml:space="preserve">Supplementation and fortification to tackle micronutrient deficiencies were found to be the most cost effective interventions to advance global welfare, according to the Copenhagen Consensus. </w:t>
      </w:r>
      <w:r w:rsidR="001C69C5" w:rsidRPr="002F29A6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Every dol</w:t>
      </w:r>
      <w:r w:rsidR="00612265" w:rsidRPr="002F29A6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lar spent </w:t>
      </w:r>
      <w:r w:rsidR="006A14EA" w:rsidRPr="002F29A6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in scaling</w:t>
      </w:r>
      <w:r w:rsidR="00D326D3" w:rsidRPr="002F29A6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up</w:t>
      </w:r>
      <w:r w:rsidR="006A14EA" w:rsidRPr="002F29A6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nutrition interventions </w:t>
      </w:r>
      <w:r w:rsidR="00612265" w:rsidRPr="002F29A6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targeting </w:t>
      </w:r>
      <w:r w:rsidR="001C69C5" w:rsidRPr="002F29A6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the first 1,000 days of life</w:t>
      </w:r>
      <w:r w:rsidR="00D326D3" w:rsidRPr="002F29A6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yields a return of at least $16</w:t>
      </w:r>
      <w:proofErr w:type="gramStart"/>
      <w:r w:rsidR="00EC09B7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,</w:t>
      </w:r>
      <w:r w:rsidR="006A14EA" w:rsidRPr="002F29A6">
        <w:rPr>
          <w:rFonts w:asciiTheme="minorHAnsi" w:hAnsiTheme="minorHAnsi"/>
          <w:color w:val="000000"/>
          <w:sz w:val="21"/>
          <w:szCs w:val="21"/>
          <w:shd w:val="clear" w:color="auto" w:fill="FFFFFF"/>
          <w:vertAlign w:val="superscript"/>
        </w:rPr>
        <w:t>5</w:t>
      </w:r>
      <w:proofErr w:type="gramEnd"/>
      <w:r w:rsidR="006A14EA" w:rsidRPr="002F29A6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</w:t>
      </w:r>
      <w:r w:rsidR="00EC09B7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and every additional</w:t>
      </w:r>
      <w:r w:rsidR="001C69C5" w:rsidRPr="002F29A6">
        <w:rPr>
          <w:rFonts w:asciiTheme="minorHAnsi" w:hAnsiTheme="minorHAnsi"/>
          <w:color w:val="000000"/>
          <w:sz w:val="21"/>
          <w:szCs w:val="21"/>
        </w:rPr>
        <w:t xml:space="preserve"> centimeter of adult height </w:t>
      </w:r>
      <w:r w:rsidR="00EC09B7">
        <w:rPr>
          <w:rFonts w:asciiTheme="minorHAnsi" w:hAnsiTheme="minorHAnsi"/>
          <w:color w:val="000000"/>
          <w:sz w:val="21"/>
          <w:szCs w:val="21"/>
        </w:rPr>
        <w:t>is associated with</w:t>
      </w:r>
      <w:r w:rsidR="001C69C5" w:rsidRPr="002F29A6">
        <w:rPr>
          <w:rFonts w:asciiTheme="minorHAnsi" w:hAnsiTheme="minorHAnsi"/>
          <w:color w:val="000000"/>
          <w:sz w:val="21"/>
          <w:szCs w:val="21"/>
        </w:rPr>
        <w:t xml:space="preserve"> a 4.5% increase in wage rates</w:t>
      </w:r>
      <w:r w:rsidR="00612265" w:rsidRPr="002F29A6">
        <w:rPr>
          <w:rFonts w:asciiTheme="minorHAnsi" w:eastAsia="Calibri" w:hAnsiTheme="minorHAnsi" w:cs="Calibri"/>
          <w:sz w:val="21"/>
          <w:szCs w:val="21"/>
        </w:rPr>
        <w:t>.</w:t>
      </w:r>
      <w:r w:rsidR="00612265" w:rsidRPr="002F29A6">
        <w:rPr>
          <w:rFonts w:asciiTheme="minorHAnsi" w:eastAsia="Calibri" w:hAnsiTheme="minorHAnsi" w:cs="Calibri"/>
          <w:sz w:val="21"/>
          <w:szCs w:val="21"/>
          <w:vertAlign w:val="superscript"/>
        </w:rPr>
        <w:endnoteReference w:id="6"/>
      </w:r>
      <w:r w:rsidR="00612265"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612265" w:rsidRPr="002F29A6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The benefits of these</w:t>
      </w:r>
      <w:r w:rsidR="001C69C5" w:rsidRPr="002F29A6">
        <w:rPr>
          <w:rFonts w:asciiTheme="minorHAnsi" w:hAnsiTheme="minorHAnsi"/>
          <w:color w:val="000000"/>
          <w:sz w:val="21"/>
          <w:szCs w:val="21"/>
        </w:rPr>
        <w:t xml:space="preserve"> onetime investments </w:t>
      </w:r>
      <w:r w:rsidR="00612265" w:rsidRPr="002F29A6">
        <w:rPr>
          <w:rFonts w:asciiTheme="minorHAnsi" w:hAnsiTheme="minorHAnsi"/>
          <w:color w:val="000000"/>
          <w:sz w:val="21"/>
          <w:szCs w:val="21"/>
        </w:rPr>
        <w:t>last</w:t>
      </w:r>
      <w:r w:rsidR="001C69C5" w:rsidRPr="002F29A6">
        <w:rPr>
          <w:rFonts w:asciiTheme="minorHAnsi" w:hAnsiTheme="minorHAnsi"/>
          <w:color w:val="000000"/>
          <w:sz w:val="21"/>
          <w:szCs w:val="21"/>
        </w:rPr>
        <w:t xml:space="preserve"> a lifetime.</w:t>
      </w:r>
    </w:p>
    <w:p w:rsidR="0062782F" w:rsidRPr="002F29A6" w:rsidRDefault="0062782F" w:rsidP="004D45F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</w:p>
    <w:p w:rsidR="00612265" w:rsidRPr="002F29A6" w:rsidRDefault="00271D71" w:rsidP="004D45FF">
      <w:pPr>
        <w:spacing w:line="240" w:lineRule="auto"/>
        <w:rPr>
          <w:rFonts w:asciiTheme="minorHAnsi" w:eastAsia="Calibri" w:hAnsiTheme="minorHAnsi" w:cs="Calibri"/>
          <w:b/>
          <w:color w:val="0070C0"/>
          <w:sz w:val="21"/>
          <w:szCs w:val="21"/>
        </w:rPr>
      </w:pPr>
      <w:r>
        <w:rPr>
          <w:rFonts w:asciiTheme="minorHAnsi" w:eastAsia="Calibri" w:hAnsiTheme="minorHAnsi" w:cs="Calibri"/>
          <w:b/>
          <w:color w:val="0070C0"/>
          <w:sz w:val="21"/>
          <w:szCs w:val="21"/>
        </w:rPr>
        <w:t>B</w:t>
      </w:r>
      <w:r w:rsidR="00C870A4" w:rsidRPr="002F29A6">
        <w:rPr>
          <w:rFonts w:asciiTheme="minorHAnsi" w:eastAsia="Calibri" w:hAnsiTheme="minorHAnsi" w:cs="Calibri"/>
          <w:b/>
          <w:color w:val="0070C0"/>
          <w:sz w:val="21"/>
          <w:szCs w:val="21"/>
        </w:rPr>
        <w:t>ig strides towards ending all forms of malnutrition</w:t>
      </w:r>
      <w:r>
        <w:rPr>
          <w:rFonts w:asciiTheme="minorHAnsi" w:eastAsia="Calibri" w:hAnsiTheme="minorHAnsi" w:cs="Calibri"/>
          <w:b/>
          <w:color w:val="0070C0"/>
          <w:sz w:val="21"/>
          <w:szCs w:val="21"/>
        </w:rPr>
        <w:t xml:space="preserve"> is possible </w:t>
      </w:r>
      <w:r w:rsidR="007A37F3">
        <w:rPr>
          <w:rFonts w:asciiTheme="minorHAnsi" w:eastAsia="Calibri" w:hAnsiTheme="minorHAnsi" w:cs="Calibri"/>
          <w:b/>
          <w:color w:val="0070C0"/>
          <w:sz w:val="21"/>
          <w:szCs w:val="21"/>
        </w:rPr>
        <w:t>in our lifetime</w:t>
      </w:r>
    </w:p>
    <w:p w:rsidR="00614650" w:rsidRPr="00614650" w:rsidRDefault="00BF2568" w:rsidP="004D45FF">
      <w:pPr>
        <w:spacing w:line="240" w:lineRule="auto"/>
        <w:jc w:val="both"/>
        <w:rPr>
          <w:rFonts w:asciiTheme="minorHAnsi" w:hAnsiTheme="minorHAnsi"/>
          <w:sz w:val="21"/>
          <w:szCs w:val="21"/>
          <w:shd w:val="clear" w:color="auto" w:fill="FFFFFF"/>
          <w:vertAlign w:val="superscript"/>
        </w:rPr>
      </w:pPr>
      <w:r w:rsidRPr="002F29A6">
        <w:rPr>
          <w:rFonts w:asciiTheme="minorHAnsi" w:hAnsiTheme="minorHAnsi"/>
          <w:sz w:val="21"/>
          <w:szCs w:val="21"/>
          <w:shd w:val="clear" w:color="auto" w:fill="FFFFFF"/>
        </w:rPr>
        <w:t xml:space="preserve">Evidence based interventions with a proven track record to reduce </w:t>
      </w:r>
      <w:r w:rsidR="00D326D3" w:rsidRPr="002F29A6">
        <w:rPr>
          <w:rFonts w:asciiTheme="minorHAnsi" w:hAnsiTheme="minorHAnsi"/>
          <w:sz w:val="21"/>
          <w:szCs w:val="21"/>
          <w:shd w:val="clear" w:color="auto" w:fill="FFFFFF"/>
        </w:rPr>
        <w:t>u</w:t>
      </w:r>
      <w:r w:rsidRPr="002F29A6">
        <w:rPr>
          <w:rFonts w:asciiTheme="minorHAnsi" w:hAnsiTheme="minorHAnsi"/>
          <w:sz w:val="21"/>
          <w:szCs w:val="21"/>
          <w:shd w:val="clear" w:color="auto" w:fill="FFFFFF"/>
        </w:rPr>
        <w:t xml:space="preserve">ndernutrition exist. A set of </w:t>
      </w:r>
      <w:r w:rsidR="00771DA6" w:rsidRPr="002F29A6">
        <w:rPr>
          <w:rFonts w:asciiTheme="minorHAnsi" w:hAnsiTheme="minorHAnsi"/>
          <w:sz w:val="21"/>
          <w:szCs w:val="21"/>
          <w:shd w:val="clear" w:color="auto" w:fill="FFFFFF"/>
        </w:rPr>
        <w:t xml:space="preserve">10 </w:t>
      </w:r>
      <w:r w:rsidRPr="002F29A6">
        <w:rPr>
          <w:rFonts w:asciiTheme="minorHAnsi" w:hAnsiTheme="minorHAnsi"/>
          <w:sz w:val="21"/>
          <w:szCs w:val="21"/>
          <w:shd w:val="clear" w:color="auto" w:fill="FFFFFF"/>
        </w:rPr>
        <w:t xml:space="preserve">interventions addressing the immediate causes (inadequate diet and disease burden) of undernutrition has been identified. These interventions include exclusive breastfeeding for the first 6 months, adequate complementary feeding, and micronutrient supplementation. </w:t>
      </w:r>
      <w:r w:rsidR="00614650" w:rsidRPr="00614650"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>Existing evidence suggests that scaling up this set of 10 interventions will reduce stunting rates b</w:t>
      </w:r>
      <w:r w:rsidR="00614650" w:rsidRPr="002F29A6"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>y 20% and severe wasting by 61%.</w:t>
      </w:r>
      <w:r w:rsidR="00614650" w:rsidRPr="002F29A6">
        <w:rPr>
          <w:rFonts w:asciiTheme="minorHAnsi" w:hAnsiTheme="minorHAnsi"/>
          <w:sz w:val="21"/>
          <w:szCs w:val="21"/>
          <w:shd w:val="clear" w:color="auto" w:fill="FFFFFF"/>
          <w:vertAlign w:val="superscript"/>
        </w:rPr>
        <w:t>7</w:t>
      </w:r>
      <w:r w:rsidR="00614650" w:rsidRPr="002F29A6"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 xml:space="preserve"> </w:t>
      </w:r>
      <w:proofErr w:type="gramStart"/>
      <w:r w:rsidR="00614650" w:rsidRPr="00614650"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>The</w:t>
      </w:r>
      <w:proofErr w:type="gramEnd"/>
      <w:r w:rsidR="00F815D3"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 xml:space="preserve"> cost of scaling up this set of</w:t>
      </w:r>
      <w:r w:rsidR="00614650" w:rsidRPr="00614650"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 xml:space="preserve"> interventions for 90% coverage in the 34 countries bearing over 90% of the stunting burden will require an additional $9.6 billion per </w:t>
      </w:r>
      <w:r w:rsidR="00614650" w:rsidRPr="002F29A6">
        <w:rPr>
          <w:rFonts w:asciiTheme="minorHAnsi" w:hAnsiTheme="minorHAnsi"/>
          <w:sz w:val="21"/>
          <w:szCs w:val="21"/>
          <w:shd w:val="clear" w:color="auto" w:fill="FFFFFF"/>
        </w:rPr>
        <w:t>year.</w:t>
      </w:r>
      <w:r w:rsidR="00614650" w:rsidRPr="002F29A6">
        <w:rPr>
          <w:rStyle w:val="EndnoteReference"/>
          <w:rFonts w:asciiTheme="minorHAnsi" w:hAnsiTheme="minorHAnsi"/>
          <w:sz w:val="21"/>
          <w:szCs w:val="21"/>
          <w:shd w:val="clear" w:color="auto" w:fill="FFFFFF"/>
        </w:rPr>
        <w:endnoteReference w:id="7"/>
      </w:r>
    </w:p>
    <w:p w:rsidR="00BF2568" w:rsidRPr="002F29A6" w:rsidRDefault="00BF2568" w:rsidP="004D45FF">
      <w:pPr>
        <w:spacing w:line="240" w:lineRule="auto"/>
        <w:rPr>
          <w:rFonts w:asciiTheme="minorHAnsi" w:eastAsia="Calibri" w:hAnsiTheme="minorHAnsi" w:cs="Calibri"/>
          <w:b/>
          <w:color w:val="0070C0"/>
          <w:sz w:val="21"/>
          <w:szCs w:val="21"/>
        </w:rPr>
      </w:pPr>
    </w:p>
    <w:p w:rsidR="00BF2568" w:rsidRPr="002F29A6" w:rsidRDefault="00B2350C" w:rsidP="004D45FF">
      <w:pPr>
        <w:spacing w:line="240" w:lineRule="auto"/>
        <w:jc w:val="both"/>
        <w:rPr>
          <w:rFonts w:asciiTheme="minorHAnsi" w:hAnsiTheme="minorHAnsi"/>
          <w:sz w:val="21"/>
          <w:szCs w:val="21"/>
          <w:shd w:val="clear" w:color="auto" w:fill="FFFFFF"/>
        </w:rPr>
      </w:pPr>
      <w:r w:rsidRPr="002F29A6">
        <w:rPr>
          <w:rFonts w:asciiTheme="minorHAnsi" w:eastAsia="Calibri" w:hAnsiTheme="minorHAnsi" w:cs="Calibri"/>
          <w:sz w:val="21"/>
          <w:szCs w:val="21"/>
          <w:highlight w:val="white"/>
        </w:rPr>
        <w:t>Nutrition-sensitive interventions address</w:t>
      </w:r>
      <w:r w:rsidR="00BF2568" w:rsidRPr="002F29A6">
        <w:rPr>
          <w:rFonts w:asciiTheme="minorHAnsi" w:eastAsia="Calibri" w:hAnsiTheme="minorHAnsi" w:cs="Calibri"/>
          <w:sz w:val="21"/>
          <w:szCs w:val="21"/>
          <w:highlight w:val="white"/>
        </w:rPr>
        <w:t>ing</w:t>
      </w:r>
      <w:r w:rsidRPr="002F29A6">
        <w:rPr>
          <w:rFonts w:asciiTheme="minorHAnsi" w:eastAsia="Calibri" w:hAnsiTheme="minorHAnsi" w:cs="Calibri"/>
          <w:sz w:val="21"/>
          <w:szCs w:val="21"/>
          <w:highlight w:val="white"/>
        </w:rPr>
        <w:t xml:space="preserve"> the unde</w:t>
      </w:r>
      <w:r w:rsidR="00BF2568" w:rsidRPr="002F29A6">
        <w:rPr>
          <w:rFonts w:asciiTheme="minorHAnsi" w:eastAsia="Calibri" w:hAnsiTheme="minorHAnsi" w:cs="Calibri"/>
          <w:sz w:val="21"/>
          <w:szCs w:val="21"/>
          <w:highlight w:val="white"/>
        </w:rPr>
        <w:t>rlying causes of undernutrition (</w:t>
      </w:r>
      <w:r w:rsidRPr="002F29A6">
        <w:rPr>
          <w:rFonts w:asciiTheme="minorHAnsi" w:eastAsia="Calibri" w:hAnsiTheme="minorHAnsi" w:cs="Calibri"/>
          <w:sz w:val="21"/>
          <w:szCs w:val="21"/>
          <w:highlight w:val="white"/>
        </w:rPr>
        <w:t xml:space="preserve">food </w:t>
      </w:r>
      <w:r w:rsidR="00614650" w:rsidRPr="002F29A6">
        <w:rPr>
          <w:rFonts w:asciiTheme="minorHAnsi" w:eastAsia="Calibri" w:hAnsiTheme="minorHAnsi" w:cs="Calibri"/>
          <w:sz w:val="21"/>
          <w:szCs w:val="21"/>
          <w:highlight w:val="white"/>
        </w:rPr>
        <w:t>insecurity</w:t>
      </w:r>
      <w:r w:rsidRPr="002F29A6">
        <w:rPr>
          <w:rFonts w:asciiTheme="minorHAnsi" w:eastAsia="Calibri" w:hAnsiTheme="minorHAnsi" w:cs="Calibri"/>
          <w:sz w:val="21"/>
          <w:szCs w:val="21"/>
          <w:highlight w:val="white"/>
        </w:rPr>
        <w:t xml:space="preserve">, </w:t>
      </w:r>
      <w:r w:rsidR="00614650" w:rsidRPr="002F29A6">
        <w:rPr>
          <w:rFonts w:asciiTheme="minorHAnsi" w:eastAsia="Calibri" w:hAnsiTheme="minorHAnsi" w:cs="Calibri"/>
          <w:sz w:val="21"/>
          <w:szCs w:val="21"/>
          <w:highlight w:val="white"/>
        </w:rPr>
        <w:t>inadequate care and lack of health services and sanitation</w:t>
      </w:r>
      <w:r w:rsidR="00BF2568" w:rsidRPr="002F29A6">
        <w:rPr>
          <w:rFonts w:asciiTheme="minorHAnsi" w:eastAsia="Calibri" w:hAnsiTheme="minorHAnsi" w:cs="Calibri"/>
          <w:sz w:val="21"/>
          <w:szCs w:val="21"/>
          <w:highlight w:val="white"/>
        </w:rPr>
        <w:t>)</w:t>
      </w:r>
      <w:r w:rsidRPr="002F29A6">
        <w:rPr>
          <w:rFonts w:asciiTheme="minorHAnsi" w:eastAsia="Calibri" w:hAnsiTheme="minorHAnsi" w:cs="Calibri"/>
          <w:sz w:val="21"/>
          <w:szCs w:val="21"/>
          <w:highlight w:val="white"/>
        </w:rPr>
        <w:t xml:space="preserve"> have been identified and are embedded across several sectors including agriculture, health, WASH</w:t>
      </w:r>
      <w:r w:rsidR="000D274D" w:rsidRPr="002F29A6">
        <w:rPr>
          <w:rFonts w:asciiTheme="minorHAnsi" w:eastAsia="Calibri" w:hAnsiTheme="minorHAnsi" w:cs="Calibri"/>
          <w:sz w:val="21"/>
          <w:szCs w:val="21"/>
          <w:highlight w:val="white"/>
        </w:rPr>
        <w:t xml:space="preserve">, </w:t>
      </w:r>
      <w:r w:rsidR="006605AA">
        <w:rPr>
          <w:rFonts w:asciiTheme="minorHAnsi" w:eastAsia="Calibri" w:hAnsiTheme="minorHAnsi" w:cs="Calibri"/>
          <w:sz w:val="21"/>
          <w:szCs w:val="21"/>
          <w:highlight w:val="white"/>
        </w:rPr>
        <w:t xml:space="preserve">social protection </w:t>
      </w:r>
      <w:r w:rsidR="000D274D" w:rsidRPr="002F29A6">
        <w:rPr>
          <w:rFonts w:asciiTheme="minorHAnsi" w:eastAsia="Calibri" w:hAnsiTheme="minorHAnsi" w:cs="Calibri"/>
          <w:sz w:val="21"/>
          <w:szCs w:val="21"/>
          <w:highlight w:val="white"/>
        </w:rPr>
        <w:t>and education</w:t>
      </w:r>
      <w:r w:rsidRPr="002F29A6">
        <w:rPr>
          <w:rFonts w:asciiTheme="minorHAnsi" w:eastAsia="Calibri" w:hAnsiTheme="minorHAnsi" w:cs="Calibri"/>
          <w:sz w:val="21"/>
          <w:szCs w:val="21"/>
          <w:highlight w:val="white"/>
        </w:rPr>
        <w:t xml:space="preserve">. </w:t>
      </w:r>
      <w:r w:rsidR="00BF2568" w:rsidRPr="002F29A6">
        <w:rPr>
          <w:rFonts w:asciiTheme="minorHAnsi" w:hAnsiTheme="minorHAnsi"/>
          <w:sz w:val="21"/>
          <w:szCs w:val="21"/>
          <w:shd w:val="clear" w:color="auto" w:fill="FFFFFF"/>
        </w:rPr>
        <w:t xml:space="preserve">These interventions have an enormous untapped potential and </w:t>
      </w:r>
      <w:r w:rsidR="00BF2568" w:rsidRPr="00771BCD">
        <w:rPr>
          <w:rFonts w:asciiTheme="minorHAnsi" w:hAnsiTheme="minorHAnsi"/>
          <w:sz w:val="21"/>
          <w:szCs w:val="21"/>
          <w:shd w:val="clear" w:color="auto" w:fill="FFFFFF"/>
        </w:rPr>
        <w:t xml:space="preserve">are </w:t>
      </w:r>
      <w:r w:rsidR="00BF2568" w:rsidRPr="00771BCD">
        <w:rPr>
          <w:rFonts w:asciiTheme="minorHAnsi" w:hAnsiTheme="minorHAnsi"/>
          <w:iCs/>
          <w:sz w:val="21"/>
          <w:szCs w:val="21"/>
          <w:shd w:val="clear" w:color="auto" w:fill="FFFFFF"/>
        </w:rPr>
        <w:t>essential</w:t>
      </w:r>
      <w:r w:rsidR="00BF2568" w:rsidRPr="00771BCD">
        <w:rPr>
          <w:rFonts w:asciiTheme="minorHAnsi" w:hAnsiTheme="minorHAnsi"/>
          <w:sz w:val="21"/>
          <w:szCs w:val="21"/>
          <w:shd w:val="clear" w:color="auto" w:fill="FFFFFF"/>
        </w:rPr>
        <w:t xml:space="preserve"> to</w:t>
      </w:r>
      <w:r w:rsidR="00BF2568" w:rsidRPr="002F29A6">
        <w:rPr>
          <w:rFonts w:asciiTheme="minorHAnsi" w:hAnsiTheme="minorHAnsi"/>
          <w:sz w:val="21"/>
          <w:szCs w:val="21"/>
          <w:shd w:val="clear" w:color="auto" w:fill="FFFFFF"/>
        </w:rPr>
        <w:t xml:space="preserve"> reducing undernutrition and meeting the comprehensive goals of the </w:t>
      </w:r>
      <w:r w:rsidR="00D326D3" w:rsidRPr="002F29A6">
        <w:rPr>
          <w:rFonts w:asciiTheme="minorHAnsi" w:hAnsiTheme="minorHAnsi"/>
          <w:sz w:val="21"/>
          <w:szCs w:val="21"/>
          <w:shd w:val="clear" w:color="auto" w:fill="FFFFFF"/>
        </w:rPr>
        <w:t>SDG</w:t>
      </w:r>
      <w:r w:rsidR="00BF2568" w:rsidRPr="002F29A6">
        <w:rPr>
          <w:rFonts w:asciiTheme="minorHAnsi" w:hAnsiTheme="minorHAnsi"/>
          <w:sz w:val="21"/>
          <w:szCs w:val="21"/>
          <w:shd w:val="clear" w:color="auto" w:fill="FFFFFF"/>
        </w:rPr>
        <w:t xml:space="preserve"> Agenda.</w:t>
      </w:r>
    </w:p>
    <w:p w:rsidR="00BF2568" w:rsidRPr="002F29A6" w:rsidRDefault="00BF2568" w:rsidP="004D45FF">
      <w:pPr>
        <w:spacing w:line="240" w:lineRule="auto"/>
        <w:jc w:val="both"/>
        <w:rPr>
          <w:rFonts w:asciiTheme="minorHAnsi" w:hAnsiTheme="minorHAnsi"/>
          <w:sz w:val="21"/>
          <w:szCs w:val="21"/>
          <w:shd w:val="clear" w:color="auto" w:fill="FFFFFF"/>
        </w:rPr>
      </w:pPr>
    </w:p>
    <w:p w:rsidR="0059383D" w:rsidRPr="002F29A6" w:rsidRDefault="00DC77BE" w:rsidP="004D45FF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>P</w:t>
      </w:r>
      <w:r w:rsidR="009961EF" w:rsidRPr="002F29A6">
        <w:rPr>
          <w:rFonts w:asciiTheme="minorHAnsi" w:eastAsia="Calibri" w:hAnsiTheme="minorHAnsi" w:cs="Calibri"/>
          <w:sz w:val="21"/>
          <w:szCs w:val="21"/>
        </w:rPr>
        <w:t xml:space="preserve">olicies and actions aimed at improving maternal and child malnutrition in the first 1,000 days of life can 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also </w:t>
      </w:r>
      <w:r w:rsidR="009961EF" w:rsidRPr="002F29A6">
        <w:rPr>
          <w:rFonts w:asciiTheme="minorHAnsi" w:eastAsia="Calibri" w:hAnsiTheme="minorHAnsi" w:cs="Calibri"/>
          <w:sz w:val="21"/>
          <w:szCs w:val="21"/>
        </w:rPr>
        <w:t>prevent childhood overweight</w:t>
      </w:r>
      <w:r w:rsidR="009961EF" w:rsidRPr="002F29A6">
        <w:rPr>
          <w:rStyle w:val="EndnoteReference"/>
          <w:rFonts w:asciiTheme="minorHAnsi" w:eastAsia="Calibri" w:hAnsiTheme="minorHAnsi" w:cs="Calibri"/>
          <w:sz w:val="21"/>
          <w:szCs w:val="21"/>
        </w:rPr>
        <w:endnoteReference w:id="8"/>
      </w:r>
      <w:r w:rsidR="00582A1C" w:rsidRPr="002F29A6">
        <w:rPr>
          <w:rFonts w:asciiTheme="minorHAnsi" w:eastAsia="Calibri" w:hAnsiTheme="minorHAnsi" w:cs="Calibri"/>
          <w:sz w:val="21"/>
          <w:szCs w:val="21"/>
        </w:rPr>
        <w:t xml:space="preserve"> and non-communicable diseases later in life.</w:t>
      </w:r>
      <w:r w:rsidR="009961EF"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1471D8" w:rsidRPr="002F29A6">
        <w:rPr>
          <w:rFonts w:asciiTheme="minorHAnsi" w:eastAsia="Calibri" w:hAnsiTheme="minorHAnsi" w:cs="Calibri"/>
          <w:sz w:val="21"/>
          <w:szCs w:val="21"/>
        </w:rPr>
        <w:tab/>
      </w:r>
    </w:p>
    <w:p w:rsidR="0059383D" w:rsidRPr="002F29A6" w:rsidRDefault="008F5BF5" w:rsidP="004D45FF">
      <w:pPr>
        <w:spacing w:line="240" w:lineRule="auto"/>
        <w:rPr>
          <w:rFonts w:asciiTheme="minorHAnsi" w:hAnsiTheme="minorHAnsi"/>
          <w:sz w:val="21"/>
          <w:szCs w:val="21"/>
        </w:rPr>
      </w:pPr>
      <w:hyperlink r:id="rId9"/>
    </w:p>
    <w:p w:rsidR="002B4A12" w:rsidRPr="002F29A6" w:rsidRDefault="00B2350C" w:rsidP="004D45FF">
      <w:pPr>
        <w:spacing w:line="240" w:lineRule="auto"/>
        <w:rPr>
          <w:rFonts w:asciiTheme="minorHAnsi" w:eastAsia="Calibri" w:hAnsiTheme="minorHAnsi" w:cs="Calibri"/>
          <w:b/>
          <w:color w:val="0070C0"/>
          <w:sz w:val="21"/>
          <w:szCs w:val="21"/>
        </w:rPr>
      </w:pPr>
      <w:r w:rsidRPr="002F29A6">
        <w:rPr>
          <w:rFonts w:asciiTheme="minorHAnsi" w:eastAsia="Calibri" w:hAnsiTheme="minorHAnsi" w:cs="Calibri"/>
          <w:b/>
          <w:color w:val="0070C0"/>
          <w:sz w:val="21"/>
          <w:szCs w:val="21"/>
        </w:rPr>
        <w:t>We Urge Global Leaders to:</w:t>
      </w:r>
    </w:p>
    <w:p w:rsidR="002B4A12" w:rsidRPr="002F29A6" w:rsidRDefault="002B4A12" w:rsidP="004D45FF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="Calibri"/>
          <w:sz w:val="21"/>
          <w:szCs w:val="21"/>
        </w:rPr>
      </w:pPr>
      <w:r w:rsidRPr="002F29A6">
        <w:rPr>
          <w:rFonts w:asciiTheme="minorHAnsi" w:hAnsiTheme="minorHAnsi"/>
          <w:sz w:val="21"/>
          <w:szCs w:val="21"/>
        </w:rPr>
        <w:t>Make transformative financial commitments for nutrition within other sectors to tackle malnutrition in all of its forms.</w:t>
      </w:r>
    </w:p>
    <w:p w:rsidR="002B4A12" w:rsidRPr="002F29A6" w:rsidRDefault="002B4A12" w:rsidP="004D45FF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="Calibr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>Increase ODA to 0.7% of Gross National Income, and</w:t>
      </w:r>
      <w:r w:rsidR="00A0789A" w:rsidRPr="002F29A6">
        <w:rPr>
          <w:rFonts w:asciiTheme="minorHAnsi" w:eastAsia="Calibri" w:hAnsiTheme="minorHAnsi" w:cs="Calibri"/>
          <w:sz w:val="21"/>
          <w:szCs w:val="21"/>
        </w:rPr>
        <w:t xml:space="preserve"> increase and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  <w:r w:rsidR="00DC77BE" w:rsidRPr="002F29A6">
        <w:rPr>
          <w:rFonts w:asciiTheme="minorHAnsi" w:eastAsia="Calibri" w:hAnsiTheme="minorHAnsi" w:cs="Calibri"/>
          <w:sz w:val="21"/>
          <w:szCs w:val="21"/>
        </w:rPr>
        <w:t xml:space="preserve">allocate </w:t>
      </w:r>
      <w:r w:rsidRPr="002F29A6">
        <w:rPr>
          <w:rFonts w:asciiTheme="minorHAnsi" w:eastAsia="Calibri" w:hAnsiTheme="minorHAnsi" w:cs="Calibri"/>
          <w:sz w:val="21"/>
          <w:szCs w:val="21"/>
        </w:rPr>
        <w:t>funds for nutrition.</w:t>
      </w:r>
    </w:p>
    <w:p w:rsidR="002B4A12" w:rsidRPr="002F29A6" w:rsidRDefault="002B4A12" w:rsidP="004D45FF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="Calibr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>Make national budget allocations specifically for nutrition interventions.</w:t>
      </w:r>
    </w:p>
    <w:p w:rsidR="0059383D" w:rsidRPr="002F29A6" w:rsidRDefault="00B2350C" w:rsidP="004D45FF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="Calibr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>Track current levels of domestic resource allocation</w:t>
      </w:r>
      <w:r w:rsidR="00A0789A" w:rsidRPr="002F29A6">
        <w:rPr>
          <w:rFonts w:asciiTheme="minorHAnsi" w:eastAsia="Calibri" w:hAnsiTheme="minorHAnsi" w:cs="Calibri"/>
          <w:sz w:val="21"/>
          <w:szCs w:val="21"/>
        </w:rPr>
        <w:t xml:space="preserve"> to nutrition</w:t>
      </w:r>
      <w:r w:rsidR="002B4A12" w:rsidRPr="002F29A6">
        <w:rPr>
          <w:rFonts w:asciiTheme="minorHAnsi" w:eastAsia="Calibri" w:hAnsiTheme="minorHAnsi" w:cs="Calibri"/>
          <w:sz w:val="21"/>
          <w:szCs w:val="21"/>
        </w:rPr>
        <w:t>.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</w:t>
      </w:r>
    </w:p>
    <w:p w:rsidR="0059383D" w:rsidRPr="002F29A6" w:rsidRDefault="00B2350C" w:rsidP="004D45FF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="Calibr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>Commit to accountabilit</w:t>
      </w:r>
      <w:r w:rsidR="002B4A12" w:rsidRPr="002F29A6">
        <w:rPr>
          <w:rFonts w:asciiTheme="minorHAnsi" w:eastAsia="Calibri" w:hAnsiTheme="minorHAnsi" w:cs="Calibri"/>
          <w:sz w:val="21"/>
          <w:szCs w:val="21"/>
        </w:rPr>
        <w:t>y and transparency mechanisms in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monitor</w:t>
      </w:r>
      <w:r w:rsidR="002B4A12" w:rsidRPr="002F29A6">
        <w:rPr>
          <w:rFonts w:asciiTheme="minorHAnsi" w:eastAsia="Calibri" w:hAnsiTheme="minorHAnsi" w:cs="Calibri"/>
          <w:sz w:val="21"/>
          <w:szCs w:val="21"/>
        </w:rPr>
        <w:t>ing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nutrition spending and link</w:t>
      </w:r>
      <w:r w:rsidR="002B4A12" w:rsidRPr="002F29A6">
        <w:rPr>
          <w:rFonts w:asciiTheme="minorHAnsi" w:eastAsia="Calibri" w:hAnsiTheme="minorHAnsi" w:cs="Calibri"/>
          <w:sz w:val="21"/>
          <w:szCs w:val="21"/>
        </w:rPr>
        <w:t>ing</w:t>
      </w:r>
      <w:r w:rsidRPr="002F29A6">
        <w:rPr>
          <w:rFonts w:asciiTheme="minorHAnsi" w:eastAsia="Calibri" w:hAnsiTheme="minorHAnsi" w:cs="Calibri"/>
          <w:sz w:val="21"/>
          <w:szCs w:val="21"/>
        </w:rPr>
        <w:t xml:space="preserve"> investments with outcomes.</w:t>
      </w:r>
    </w:p>
    <w:p w:rsidR="000D274D" w:rsidRPr="002F29A6" w:rsidRDefault="000D274D" w:rsidP="004D45FF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="Calibri"/>
          <w:sz w:val="21"/>
          <w:szCs w:val="21"/>
        </w:rPr>
      </w:pPr>
      <w:r w:rsidRPr="002F29A6">
        <w:rPr>
          <w:rFonts w:asciiTheme="minorHAnsi" w:eastAsia="Calibri" w:hAnsiTheme="minorHAnsi" w:cs="Calibri"/>
          <w:sz w:val="21"/>
          <w:szCs w:val="21"/>
        </w:rPr>
        <w:t xml:space="preserve">Strongly support the inclusion of </w:t>
      </w:r>
      <w:r w:rsidR="00AF682D" w:rsidRPr="002F29A6">
        <w:rPr>
          <w:rFonts w:asciiTheme="minorHAnsi" w:eastAsia="Calibri" w:hAnsiTheme="minorHAnsi" w:cs="Calibri"/>
          <w:sz w:val="21"/>
          <w:szCs w:val="21"/>
        </w:rPr>
        <w:t>indicators to track a</w:t>
      </w:r>
      <w:r w:rsidR="00071434">
        <w:rPr>
          <w:rFonts w:asciiTheme="minorHAnsi" w:eastAsia="Calibri" w:hAnsiTheme="minorHAnsi" w:cs="Calibri"/>
          <w:sz w:val="21"/>
          <w:szCs w:val="21"/>
        </w:rPr>
        <w:t>l</w:t>
      </w:r>
      <w:r w:rsidR="00AF682D" w:rsidRPr="002F29A6">
        <w:rPr>
          <w:rFonts w:asciiTheme="minorHAnsi" w:eastAsia="Calibri" w:hAnsiTheme="minorHAnsi" w:cs="Calibri"/>
          <w:sz w:val="21"/>
          <w:szCs w:val="21"/>
        </w:rPr>
        <w:t xml:space="preserve">l 6 WHA targets, dietary diversity and budget allocated to nutrition, as this would further the momentum for increased action to tackle malnutrition. </w:t>
      </w:r>
    </w:p>
    <w:p w:rsidR="004D45FF" w:rsidRDefault="004D45FF" w:rsidP="004D45FF">
      <w:pPr>
        <w:spacing w:line="240" w:lineRule="auto"/>
        <w:contextualSpacing/>
        <w:rPr>
          <w:rFonts w:asciiTheme="minorHAnsi" w:eastAsia="Calibri" w:hAnsiTheme="minorHAnsi" w:cs="Calibri"/>
          <w:b/>
          <w:sz w:val="16"/>
          <w:szCs w:val="21"/>
        </w:rPr>
      </w:pPr>
    </w:p>
    <w:p w:rsidR="004D45FF" w:rsidRDefault="004D45FF" w:rsidP="004D45FF">
      <w:pPr>
        <w:spacing w:line="240" w:lineRule="auto"/>
        <w:contextualSpacing/>
        <w:rPr>
          <w:rFonts w:asciiTheme="minorHAnsi" w:eastAsia="Calibri" w:hAnsiTheme="minorHAnsi" w:cs="Calibri"/>
          <w:b/>
          <w:sz w:val="16"/>
          <w:szCs w:val="21"/>
        </w:rPr>
      </w:pPr>
    </w:p>
    <w:p w:rsidR="0047260C" w:rsidRDefault="0047260C" w:rsidP="004D45FF">
      <w:pPr>
        <w:spacing w:line="240" w:lineRule="auto"/>
        <w:contextualSpacing/>
        <w:rPr>
          <w:rFonts w:asciiTheme="minorHAnsi" w:eastAsia="Calibri" w:hAnsiTheme="minorHAnsi" w:cs="Calibri"/>
          <w:b/>
          <w:sz w:val="16"/>
          <w:szCs w:val="21"/>
        </w:rPr>
      </w:pPr>
    </w:p>
    <w:p w:rsidR="0047260C" w:rsidRDefault="0047260C" w:rsidP="004D45FF">
      <w:pPr>
        <w:spacing w:line="240" w:lineRule="auto"/>
        <w:contextualSpacing/>
        <w:rPr>
          <w:rFonts w:asciiTheme="minorHAnsi" w:eastAsia="Calibri" w:hAnsiTheme="minorHAnsi" w:cs="Calibri"/>
          <w:b/>
          <w:sz w:val="16"/>
          <w:szCs w:val="21"/>
        </w:rPr>
      </w:pPr>
    </w:p>
    <w:p w:rsidR="0047260C" w:rsidRDefault="0047260C" w:rsidP="004D45FF">
      <w:pPr>
        <w:spacing w:line="240" w:lineRule="auto"/>
        <w:contextualSpacing/>
        <w:rPr>
          <w:rFonts w:asciiTheme="minorHAnsi" w:eastAsia="Calibri" w:hAnsiTheme="minorHAnsi" w:cs="Calibri"/>
          <w:b/>
          <w:sz w:val="16"/>
          <w:szCs w:val="21"/>
        </w:rPr>
      </w:pPr>
    </w:p>
    <w:p w:rsidR="001471D8" w:rsidRPr="004D45FF" w:rsidRDefault="009961EF" w:rsidP="004D45FF">
      <w:pPr>
        <w:spacing w:line="240" w:lineRule="auto"/>
        <w:contextualSpacing/>
        <w:rPr>
          <w:rFonts w:asciiTheme="minorHAnsi" w:eastAsia="Calibri" w:hAnsiTheme="minorHAnsi" w:cs="Calibri"/>
          <w:b/>
          <w:sz w:val="16"/>
          <w:szCs w:val="21"/>
        </w:rPr>
      </w:pPr>
      <w:r w:rsidRPr="004D45FF">
        <w:rPr>
          <w:rFonts w:asciiTheme="minorHAnsi" w:eastAsia="Calibri" w:hAnsiTheme="minorHAnsi" w:cs="Calibri"/>
          <w:b/>
          <w:sz w:val="16"/>
          <w:szCs w:val="21"/>
        </w:rPr>
        <w:t>References</w:t>
      </w:r>
    </w:p>
    <w:sectPr w:rsidR="001471D8" w:rsidRPr="004D45FF" w:rsidSect="00071434"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79" w:rsidRDefault="00844279">
      <w:pPr>
        <w:spacing w:line="240" w:lineRule="auto"/>
      </w:pPr>
      <w:r>
        <w:separator/>
      </w:r>
    </w:p>
  </w:endnote>
  <w:endnote w:type="continuationSeparator" w:id="0">
    <w:p w:rsidR="00844279" w:rsidRDefault="00844279">
      <w:pPr>
        <w:spacing w:line="240" w:lineRule="auto"/>
      </w:pPr>
      <w:r>
        <w:continuationSeparator/>
      </w:r>
    </w:p>
  </w:endnote>
  <w:endnote w:id="1">
    <w:p w:rsidR="00E12ABC" w:rsidRPr="004D45FF" w:rsidRDefault="00E12ABC" w:rsidP="00F11FBE">
      <w:pPr>
        <w:spacing w:line="240" w:lineRule="auto"/>
        <w:rPr>
          <w:sz w:val="10"/>
          <w:szCs w:val="10"/>
        </w:rPr>
      </w:pPr>
      <w:r w:rsidRPr="004D45FF">
        <w:rPr>
          <w:sz w:val="10"/>
          <w:szCs w:val="10"/>
          <w:vertAlign w:val="superscript"/>
        </w:rPr>
        <w:endnoteRef/>
      </w:r>
      <w:r w:rsidRPr="004D45FF">
        <w:rPr>
          <w:sz w:val="10"/>
          <w:szCs w:val="10"/>
        </w:rPr>
        <w:t xml:space="preserve"> </w:t>
      </w:r>
      <w:proofErr w:type="gramStart"/>
      <w:r w:rsidR="00775BDF" w:rsidRPr="004D45FF">
        <w:rPr>
          <w:rFonts w:asciiTheme="minorHAnsi" w:hAnsiTheme="minorHAnsi"/>
          <w:sz w:val="10"/>
          <w:szCs w:val="10"/>
        </w:rPr>
        <w:t>Horton S. el at.</w:t>
      </w:r>
      <w:proofErr w:type="gramEnd"/>
      <w:r w:rsidR="00775BDF" w:rsidRPr="004D45FF">
        <w:rPr>
          <w:rFonts w:asciiTheme="minorHAnsi" w:hAnsiTheme="minorHAnsi"/>
          <w:sz w:val="10"/>
          <w:szCs w:val="10"/>
        </w:rPr>
        <w:t xml:space="preserve"> Scaling Up Nutrition What Will It Cost</w:t>
      </w:r>
      <w:proofErr w:type="gramStart"/>
      <w:r w:rsidR="00775BDF" w:rsidRPr="004D45FF">
        <w:rPr>
          <w:rFonts w:asciiTheme="minorHAnsi" w:hAnsiTheme="minorHAnsi"/>
          <w:sz w:val="10"/>
          <w:szCs w:val="10"/>
        </w:rPr>
        <w:t>?.</w:t>
      </w:r>
      <w:proofErr w:type="gramEnd"/>
      <w:r w:rsidR="00775BDF" w:rsidRPr="004D45FF">
        <w:rPr>
          <w:rFonts w:asciiTheme="minorHAnsi" w:hAnsiTheme="minorHAnsi"/>
          <w:sz w:val="10"/>
          <w:szCs w:val="10"/>
        </w:rPr>
        <w:t xml:space="preserve"> </w:t>
      </w:r>
      <w:proofErr w:type="gramStart"/>
      <w:r w:rsidR="00775BDF" w:rsidRPr="004D45FF">
        <w:rPr>
          <w:rFonts w:asciiTheme="minorHAnsi" w:hAnsiTheme="minorHAnsi"/>
          <w:sz w:val="10"/>
          <w:szCs w:val="10"/>
        </w:rPr>
        <w:t>The World Bank 2010.</w:t>
      </w:r>
      <w:proofErr w:type="gramEnd"/>
      <w:r w:rsidR="00775BDF" w:rsidRPr="004D45FF">
        <w:rPr>
          <w:rFonts w:asciiTheme="minorHAnsi" w:hAnsiTheme="minorHAnsi"/>
          <w:sz w:val="10"/>
          <w:szCs w:val="10"/>
        </w:rPr>
        <w:t xml:space="preserve"> </w:t>
      </w:r>
      <w:hyperlink r:id="rId1" w:history="1">
        <w:r w:rsidR="00775BDF" w:rsidRPr="004D45FF">
          <w:rPr>
            <w:rStyle w:val="Hyperlink"/>
            <w:rFonts w:asciiTheme="minorHAnsi" w:hAnsiTheme="minorHAnsi"/>
            <w:sz w:val="10"/>
            <w:szCs w:val="10"/>
          </w:rPr>
          <w:t>http://siteresources.worldbank.org/HEALTHNUTRITIONANDPOPULATION/Resources/Peer-Reviewed-Publications/ScalingUpNutrition.pdf</w:t>
        </w:r>
      </w:hyperlink>
      <w:r w:rsidR="00775BDF" w:rsidRPr="004D45FF">
        <w:rPr>
          <w:sz w:val="10"/>
          <w:szCs w:val="10"/>
        </w:rPr>
        <w:t xml:space="preserve"> </w:t>
      </w:r>
    </w:p>
  </w:endnote>
  <w:endnote w:id="2">
    <w:p w:rsidR="00916837" w:rsidRPr="00071434" w:rsidRDefault="00916837">
      <w:pPr>
        <w:pStyle w:val="EndnoteText"/>
        <w:rPr>
          <w:rFonts w:asciiTheme="minorHAnsi" w:hAnsiTheme="minorHAnsi"/>
          <w:sz w:val="10"/>
          <w:szCs w:val="10"/>
        </w:rPr>
      </w:pPr>
      <w:r w:rsidRPr="004D45FF">
        <w:rPr>
          <w:rStyle w:val="EndnoteReference"/>
          <w:sz w:val="10"/>
          <w:szCs w:val="10"/>
        </w:rPr>
        <w:endnoteRef/>
      </w:r>
      <w:r w:rsidRPr="004D45FF">
        <w:rPr>
          <w:sz w:val="10"/>
          <w:szCs w:val="10"/>
        </w:rPr>
        <w:t xml:space="preserve"> </w:t>
      </w:r>
      <w:proofErr w:type="gramStart"/>
      <w:r w:rsidR="00FF5549" w:rsidRPr="00071434">
        <w:rPr>
          <w:rFonts w:asciiTheme="minorHAnsi" w:hAnsiTheme="minorHAnsi"/>
          <w:sz w:val="10"/>
          <w:szCs w:val="10"/>
        </w:rPr>
        <w:t>The Cost of Hunger in Africa.</w:t>
      </w:r>
      <w:proofErr w:type="gramEnd"/>
      <w:r w:rsidR="00FF5549" w:rsidRPr="00071434">
        <w:rPr>
          <w:rFonts w:asciiTheme="minorHAnsi" w:hAnsiTheme="minorHAnsi"/>
          <w:sz w:val="10"/>
          <w:szCs w:val="10"/>
        </w:rPr>
        <w:t xml:space="preserve"> </w:t>
      </w:r>
      <w:proofErr w:type="gramStart"/>
      <w:r w:rsidR="00FF5549" w:rsidRPr="00071434">
        <w:rPr>
          <w:rFonts w:asciiTheme="minorHAnsi" w:hAnsiTheme="minorHAnsi"/>
          <w:sz w:val="10"/>
          <w:szCs w:val="10"/>
        </w:rPr>
        <w:t>Implications for the Growth and Transformation of Ethiopia.</w:t>
      </w:r>
      <w:proofErr w:type="gramEnd"/>
      <w:r w:rsidR="00FF5549" w:rsidRPr="00071434">
        <w:rPr>
          <w:rFonts w:asciiTheme="minorHAnsi" w:hAnsiTheme="minorHAnsi"/>
          <w:sz w:val="10"/>
          <w:szCs w:val="10"/>
        </w:rPr>
        <w:t xml:space="preserve"> </w:t>
      </w:r>
      <w:proofErr w:type="gramStart"/>
      <w:r w:rsidR="00FF5549" w:rsidRPr="00071434">
        <w:rPr>
          <w:rFonts w:asciiTheme="minorHAnsi" w:hAnsiTheme="minorHAnsi"/>
          <w:sz w:val="10"/>
          <w:szCs w:val="10"/>
        </w:rPr>
        <w:t>Social and Economic Impacts of Child Undernutrition in Ethiopia.</w:t>
      </w:r>
      <w:proofErr w:type="gramEnd"/>
      <w:r w:rsidR="00FF5549" w:rsidRPr="00071434">
        <w:rPr>
          <w:rFonts w:asciiTheme="minorHAnsi" w:hAnsiTheme="minorHAnsi"/>
          <w:sz w:val="10"/>
          <w:szCs w:val="10"/>
        </w:rPr>
        <w:t xml:space="preserve"> </w:t>
      </w:r>
      <w:hyperlink r:id="rId2" w:history="1">
        <w:r w:rsidR="00FF5549" w:rsidRPr="00071434">
          <w:rPr>
            <w:rStyle w:val="Hyperlink"/>
            <w:rFonts w:asciiTheme="minorHAnsi" w:hAnsiTheme="minorHAnsi"/>
            <w:sz w:val="10"/>
            <w:szCs w:val="10"/>
          </w:rPr>
          <w:t>http://documents.wfp.org/stellent/groups/public/documents/newsroom/wfp263405.pdf</w:t>
        </w:r>
      </w:hyperlink>
      <w:r w:rsidR="00FF5549" w:rsidRPr="00071434">
        <w:rPr>
          <w:rFonts w:asciiTheme="minorHAnsi" w:hAnsiTheme="minorHAnsi"/>
          <w:sz w:val="10"/>
          <w:szCs w:val="10"/>
        </w:rPr>
        <w:t xml:space="preserve"> </w:t>
      </w:r>
    </w:p>
  </w:endnote>
  <w:endnote w:id="3">
    <w:p w:rsidR="00D84510" w:rsidRPr="004D45FF" w:rsidRDefault="00D84510" w:rsidP="00F11FBE">
      <w:pPr>
        <w:pStyle w:val="Heading1"/>
        <w:shd w:val="clear" w:color="auto" w:fill="FFFFFF"/>
        <w:spacing w:before="0" w:line="240" w:lineRule="auto"/>
        <w:rPr>
          <w:rFonts w:ascii="Arial" w:hAnsi="Arial" w:cs="Arial"/>
          <w:sz w:val="10"/>
          <w:szCs w:val="10"/>
        </w:rPr>
      </w:pPr>
      <w:r w:rsidRPr="004D45FF">
        <w:rPr>
          <w:rFonts w:ascii="Arial" w:eastAsia="Arial" w:hAnsi="Arial" w:cs="Arial"/>
          <w:sz w:val="10"/>
          <w:szCs w:val="10"/>
          <w:vertAlign w:val="superscript"/>
        </w:rPr>
        <w:endnoteRef/>
      </w:r>
      <w:r w:rsidRPr="00071434">
        <w:rPr>
          <w:rFonts w:ascii="Arial" w:eastAsia="Arial" w:hAnsi="Arial" w:cs="Arial"/>
          <w:sz w:val="10"/>
          <w:szCs w:val="10"/>
          <w:vertAlign w:val="superscript"/>
          <w:lang w:val="fr-FR"/>
        </w:rPr>
        <w:t xml:space="preserve"> </w:t>
      </w:r>
      <w:proofErr w:type="spellStart"/>
      <w:r w:rsidR="00F11FBE" w:rsidRPr="00071434">
        <w:rPr>
          <w:rFonts w:ascii="Calibri" w:eastAsia="Calibri" w:hAnsi="Calibri" w:cs="Calibri"/>
          <w:sz w:val="10"/>
          <w:szCs w:val="10"/>
          <w:lang w:val="fr-FR"/>
        </w:rPr>
        <w:t>Gilden</w:t>
      </w:r>
      <w:proofErr w:type="spellEnd"/>
      <w:r w:rsidR="00F11FBE" w:rsidRPr="00071434">
        <w:rPr>
          <w:rFonts w:ascii="Calibri" w:eastAsia="Calibri" w:hAnsi="Calibri" w:cs="Calibri"/>
          <w:sz w:val="10"/>
          <w:szCs w:val="10"/>
          <w:lang w:val="fr-FR"/>
        </w:rPr>
        <w:t xml:space="preserve"> </w:t>
      </w:r>
      <w:proofErr w:type="spellStart"/>
      <w:r w:rsidR="00F11FBE" w:rsidRPr="00071434">
        <w:rPr>
          <w:rFonts w:ascii="Calibri" w:eastAsia="Calibri" w:hAnsi="Calibri" w:cs="Calibri"/>
          <w:sz w:val="10"/>
          <w:szCs w:val="10"/>
          <w:lang w:val="fr-FR"/>
        </w:rPr>
        <w:t>Tsai</w:t>
      </w:r>
      <w:proofErr w:type="spellEnd"/>
      <w:r w:rsidR="00F11FBE" w:rsidRPr="00071434">
        <w:rPr>
          <w:rFonts w:ascii="Calibri" w:eastAsia="Calibri" w:hAnsi="Calibri" w:cs="Calibri"/>
          <w:sz w:val="10"/>
          <w:szCs w:val="10"/>
          <w:lang w:val="fr-FR"/>
        </w:rPr>
        <w:t xml:space="preserve"> A. et al. </w:t>
      </w:r>
      <w:r w:rsidR="00F11FBE" w:rsidRPr="004D45FF">
        <w:rPr>
          <w:rFonts w:ascii="Calibri" w:eastAsia="Calibri" w:hAnsi="Calibri" w:cs="Calibri"/>
          <w:sz w:val="10"/>
          <w:szCs w:val="10"/>
        </w:rPr>
        <w:t xml:space="preserve">Direct medical cost of overweight and obesity in the United States: a quantitative systematic review. </w:t>
      </w:r>
      <w:hyperlink r:id="rId3" w:tgtFrame="pmc_ext" w:history="1">
        <w:proofErr w:type="spellStart"/>
        <w:r w:rsidR="00F11FBE" w:rsidRPr="004D45FF">
          <w:rPr>
            <w:rFonts w:ascii="Calibri" w:eastAsia="Calibri" w:hAnsi="Calibri" w:cs="Calibri"/>
            <w:sz w:val="10"/>
            <w:szCs w:val="10"/>
          </w:rPr>
          <w:t>Obes</w:t>
        </w:r>
        <w:proofErr w:type="spellEnd"/>
        <w:r w:rsidR="00F11FBE" w:rsidRPr="004D45FF">
          <w:rPr>
            <w:rFonts w:ascii="Calibri" w:eastAsia="Calibri" w:hAnsi="Calibri" w:cs="Calibri"/>
            <w:sz w:val="10"/>
            <w:szCs w:val="10"/>
          </w:rPr>
          <w:t xml:space="preserve"> Rev. 2011 Jan; 12(1): 50–61.</w:t>
        </w:r>
      </w:hyperlink>
    </w:p>
  </w:endnote>
  <w:endnote w:id="4">
    <w:p w:rsidR="00D84510" w:rsidRPr="004D45FF" w:rsidRDefault="00D84510" w:rsidP="00F11FBE">
      <w:pPr>
        <w:pStyle w:val="EndnoteText"/>
        <w:rPr>
          <w:sz w:val="10"/>
          <w:szCs w:val="10"/>
        </w:rPr>
      </w:pPr>
      <w:r w:rsidRPr="004D45FF">
        <w:rPr>
          <w:rStyle w:val="EndnoteReference"/>
          <w:sz w:val="10"/>
          <w:szCs w:val="10"/>
        </w:rPr>
        <w:endnoteRef/>
      </w:r>
      <w:r w:rsidRPr="004D45FF">
        <w:rPr>
          <w:sz w:val="10"/>
          <w:szCs w:val="10"/>
        </w:rPr>
        <w:t xml:space="preserve"> </w:t>
      </w:r>
      <w:hyperlink r:id="rId4" w:history="1"/>
      <w:r w:rsidR="00F11FBE" w:rsidRPr="004D45FF">
        <w:rPr>
          <w:sz w:val="10"/>
          <w:szCs w:val="10"/>
        </w:rPr>
        <w:t xml:space="preserve"> </w:t>
      </w:r>
      <w:r w:rsidR="00F11FBE" w:rsidRPr="004D45FF">
        <w:rPr>
          <w:rFonts w:asciiTheme="minorHAnsi" w:hAnsiTheme="minorHAnsi"/>
          <w:sz w:val="10"/>
          <w:szCs w:val="10"/>
        </w:rPr>
        <w:t xml:space="preserve">Dobbs R. et al. How the world could better fight obesity. </w:t>
      </w:r>
      <w:proofErr w:type="gramStart"/>
      <w:r w:rsidR="00F11FBE" w:rsidRPr="004D45FF">
        <w:rPr>
          <w:rFonts w:asciiTheme="minorHAnsi" w:hAnsiTheme="minorHAnsi"/>
          <w:sz w:val="10"/>
          <w:szCs w:val="10"/>
        </w:rPr>
        <w:t xml:space="preserve">McKinsey </w:t>
      </w:r>
      <w:r w:rsidR="006A14EA" w:rsidRPr="004D45FF">
        <w:rPr>
          <w:rFonts w:asciiTheme="minorHAnsi" w:hAnsiTheme="minorHAnsi"/>
          <w:sz w:val="10"/>
          <w:szCs w:val="10"/>
        </w:rPr>
        <w:t>Global Institute.</w:t>
      </w:r>
      <w:proofErr w:type="gramEnd"/>
      <w:r w:rsidR="006A14EA" w:rsidRPr="004D45FF">
        <w:rPr>
          <w:rFonts w:asciiTheme="minorHAnsi" w:hAnsiTheme="minorHAnsi"/>
          <w:sz w:val="10"/>
          <w:szCs w:val="10"/>
        </w:rPr>
        <w:t xml:space="preserve"> November 2014 </w:t>
      </w:r>
      <w:hyperlink r:id="rId5" w:history="1">
        <w:r w:rsidR="006A14EA" w:rsidRPr="004D45FF">
          <w:rPr>
            <w:rStyle w:val="Hyperlink"/>
            <w:rFonts w:asciiTheme="minorHAnsi" w:hAnsiTheme="minorHAnsi"/>
            <w:sz w:val="10"/>
            <w:szCs w:val="10"/>
          </w:rPr>
          <w:t>http://www.mckinsey.com/insights/economic_studies/how_the_world_could_better_fight_obesity</w:t>
        </w:r>
      </w:hyperlink>
      <w:r w:rsidR="00F11FBE" w:rsidRPr="004D45FF">
        <w:rPr>
          <w:sz w:val="10"/>
          <w:szCs w:val="10"/>
        </w:rPr>
        <w:t xml:space="preserve"> </w:t>
      </w:r>
    </w:p>
  </w:endnote>
  <w:endnote w:id="5">
    <w:p w:rsidR="00612265" w:rsidRPr="004D45FF" w:rsidRDefault="00612265" w:rsidP="00612265">
      <w:pPr>
        <w:spacing w:line="240" w:lineRule="auto"/>
        <w:rPr>
          <w:sz w:val="10"/>
          <w:szCs w:val="10"/>
        </w:rPr>
      </w:pPr>
      <w:r w:rsidRPr="004D45FF">
        <w:rPr>
          <w:sz w:val="10"/>
          <w:szCs w:val="10"/>
          <w:vertAlign w:val="superscript"/>
        </w:rPr>
        <w:endnoteRef/>
      </w:r>
      <w:r w:rsidRPr="004D45FF">
        <w:rPr>
          <w:sz w:val="10"/>
          <w:szCs w:val="10"/>
        </w:rPr>
        <w:t xml:space="preserve"> </w:t>
      </w:r>
      <w:proofErr w:type="gramStart"/>
      <w:r w:rsidR="006A14EA" w:rsidRPr="004D45FF">
        <w:rPr>
          <w:rFonts w:ascii="Calibri" w:eastAsia="Calibri" w:hAnsi="Calibri" w:cs="Calibri"/>
          <w:sz w:val="10"/>
          <w:szCs w:val="10"/>
        </w:rPr>
        <w:t>Haddad L et.al.</w:t>
      </w:r>
      <w:proofErr w:type="gramEnd"/>
      <w:r w:rsidR="006A14EA" w:rsidRPr="004D45FF">
        <w:rPr>
          <w:rFonts w:ascii="Calibri" w:eastAsia="Calibri" w:hAnsi="Calibri" w:cs="Calibri"/>
          <w:sz w:val="10"/>
          <w:szCs w:val="10"/>
        </w:rPr>
        <w:t xml:space="preserve"> </w:t>
      </w:r>
      <w:proofErr w:type="gramStart"/>
      <w:r w:rsidR="006A14EA" w:rsidRPr="004D45FF">
        <w:rPr>
          <w:rFonts w:ascii="Calibri" w:eastAsia="Calibri" w:hAnsi="Calibri" w:cs="Calibri"/>
          <w:sz w:val="10"/>
          <w:szCs w:val="10"/>
        </w:rPr>
        <w:t>Global Nutrition Report.</w:t>
      </w:r>
      <w:proofErr w:type="gramEnd"/>
      <w:r w:rsidR="006A14EA" w:rsidRPr="004D45FF">
        <w:rPr>
          <w:rFonts w:ascii="Calibri" w:eastAsia="Calibri" w:hAnsi="Calibri" w:cs="Calibri"/>
          <w:sz w:val="10"/>
          <w:szCs w:val="10"/>
        </w:rPr>
        <w:t xml:space="preserve"> IFPRI 2014</w:t>
      </w:r>
      <w:r w:rsidR="006A14EA" w:rsidRPr="004D45FF">
        <w:rPr>
          <w:sz w:val="10"/>
          <w:szCs w:val="10"/>
        </w:rPr>
        <w:t xml:space="preserve"> </w:t>
      </w:r>
      <w:hyperlink r:id="rId6" w:history="1">
        <w:r w:rsidR="006A14EA" w:rsidRPr="004D45FF">
          <w:rPr>
            <w:rStyle w:val="Hyperlink"/>
            <w:sz w:val="10"/>
            <w:szCs w:val="10"/>
          </w:rPr>
          <w:t>http://www.ifpri.org/sites/default/files/publications/gnr14.pdf</w:t>
        </w:r>
      </w:hyperlink>
      <w:r w:rsidR="006A14EA" w:rsidRPr="004D45FF">
        <w:rPr>
          <w:sz w:val="10"/>
          <w:szCs w:val="10"/>
        </w:rPr>
        <w:t xml:space="preserve"> </w:t>
      </w:r>
    </w:p>
  </w:endnote>
  <w:endnote w:id="6">
    <w:p w:rsidR="00612265" w:rsidRPr="00071434" w:rsidRDefault="00612265" w:rsidP="00612265">
      <w:pPr>
        <w:spacing w:line="240" w:lineRule="auto"/>
        <w:rPr>
          <w:sz w:val="10"/>
          <w:szCs w:val="10"/>
          <w:lang w:val="fr-FR"/>
        </w:rPr>
      </w:pPr>
      <w:r w:rsidRPr="004D45FF">
        <w:rPr>
          <w:sz w:val="10"/>
          <w:szCs w:val="10"/>
          <w:vertAlign w:val="superscript"/>
        </w:rPr>
        <w:endnoteRef/>
      </w:r>
      <w:r w:rsidRPr="004D45FF">
        <w:rPr>
          <w:sz w:val="10"/>
          <w:szCs w:val="10"/>
        </w:rPr>
        <w:t xml:space="preserve"> </w:t>
      </w:r>
      <w:proofErr w:type="gramStart"/>
      <w:r w:rsidR="006A14EA" w:rsidRPr="004D45FF">
        <w:rPr>
          <w:rFonts w:ascii="Calibri" w:eastAsia="Calibri" w:hAnsi="Calibri" w:cs="Calibri"/>
          <w:sz w:val="10"/>
          <w:szCs w:val="10"/>
        </w:rPr>
        <w:t xml:space="preserve">Horton s, </w:t>
      </w:r>
      <w:proofErr w:type="spellStart"/>
      <w:r w:rsidR="006A14EA" w:rsidRPr="004D45FF">
        <w:rPr>
          <w:rFonts w:ascii="Calibri" w:eastAsia="Calibri" w:hAnsi="Calibri" w:cs="Calibri"/>
          <w:sz w:val="10"/>
          <w:szCs w:val="10"/>
        </w:rPr>
        <w:t>Steckel</w:t>
      </w:r>
      <w:proofErr w:type="spellEnd"/>
      <w:r w:rsidR="006A14EA" w:rsidRPr="004D45FF">
        <w:rPr>
          <w:rFonts w:ascii="Calibri" w:eastAsia="Calibri" w:hAnsi="Calibri" w:cs="Calibri"/>
          <w:sz w:val="10"/>
          <w:szCs w:val="10"/>
        </w:rPr>
        <w:t xml:space="preserve"> R. Global economic losses attributable to malnutrition 1900- 2000 and projections to 2050.Copenhagen </w:t>
      </w:r>
      <w:r w:rsidR="001471D8" w:rsidRPr="004D45FF">
        <w:rPr>
          <w:rFonts w:ascii="Calibri" w:eastAsia="Calibri" w:hAnsi="Calibri" w:cs="Calibri"/>
          <w:sz w:val="10"/>
          <w:szCs w:val="10"/>
        </w:rPr>
        <w:t>Consensus on Human Challenges 2011.</w:t>
      </w:r>
      <w:proofErr w:type="gramEnd"/>
      <w:r w:rsidR="001471D8" w:rsidRPr="004D45FF">
        <w:rPr>
          <w:rFonts w:ascii="Calibri" w:eastAsia="Calibri" w:hAnsi="Calibri" w:cs="Calibri"/>
          <w:sz w:val="10"/>
          <w:szCs w:val="10"/>
        </w:rPr>
        <w:t xml:space="preserve"> </w:t>
      </w:r>
      <w:hyperlink r:id="rId7" w:history="1">
        <w:r w:rsidR="001471D8" w:rsidRPr="00071434">
          <w:rPr>
            <w:rStyle w:val="Hyperlink"/>
            <w:rFonts w:ascii="Calibri" w:eastAsia="Calibri" w:hAnsi="Calibri" w:cs="Calibri"/>
            <w:sz w:val="10"/>
            <w:szCs w:val="10"/>
            <w:lang w:val="fr-FR"/>
          </w:rPr>
          <w:t>http://www.copenhagenconsensus.com/sites/default/files/malnutrition.pdf</w:t>
        </w:r>
      </w:hyperlink>
      <w:r w:rsidR="001471D8" w:rsidRPr="00071434">
        <w:rPr>
          <w:rFonts w:ascii="Calibri" w:eastAsia="Calibri" w:hAnsi="Calibri" w:cs="Calibri"/>
          <w:sz w:val="10"/>
          <w:szCs w:val="10"/>
          <w:lang w:val="fr-FR"/>
        </w:rPr>
        <w:t xml:space="preserve"> </w:t>
      </w:r>
      <w:r w:rsidR="006A14EA" w:rsidRPr="00071434">
        <w:rPr>
          <w:rFonts w:ascii="Calibri" w:eastAsia="Calibri" w:hAnsi="Calibri" w:cs="Calibri"/>
          <w:sz w:val="10"/>
          <w:szCs w:val="10"/>
          <w:lang w:val="fr-FR"/>
        </w:rPr>
        <w:t xml:space="preserve"> </w:t>
      </w:r>
    </w:p>
  </w:endnote>
  <w:endnote w:id="7">
    <w:p w:rsidR="00614650" w:rsidRPr="004D45FF" w:rsidRDefault="00614650" w:rsidP="00614650">
      <w:pPr>
        <w:pStyle w:val="EndnoteText"/>
        <w:rPr>
          <w:sz w:val="10"/>
          <w:szCs w:val="10"/>
        </w:rPr>
      </w:pPr>
      <w:r w:rsidRPr="004D45FF">
        <w:rPr>
          <w:rStyle w:val="EndnoteReference"/>
          <w:sz w:val="10"/>
          <w:szCs w:val="10"/>
        </w:rPr>
        <w:endnoteRef/>
      </w:r>
      <w:r w:rsidRPr="00071434">
        <w:rPr>
          <w:sz w:val="10"/>
          <w:szCs w:val="10"/>
          <w:lang w:val="fr-FR"/>
        </w:rPr>
        <w:t xml:space="preserve"> </w:t>
      </w:r>
      <w:proofErr w:type="spellStart"/>
      <w:r w:rsidRPr="00071434">
        <w:rPr>
          <w:rFonts w:asciiTheme="minorHAnsi" w:hAnsiTheme="minorHAnsi"/>
          <w:sz w:val="10"/>
          <w:szCs w:val="10"/>
          <w:lang w:val="fr-FR"/>
        </w:rPr>
        <w:t>Bhutta</w:t>
      </w:r>
      <w:proofErr w:type="spellEnd"/>
      <w:r w:rsidRPr="00071434">
        <w:rPr>
          <w:rFonts w:asciiTheme="minorHAnsi" w:hAnsiTheme="minorHAnsi"/>
          <w:sz w:val="10"/>
          <w:szCs w:val="10"/>
          <w:lang w:val="fr-FR"/>
        </w:rPr>
        <w:t xml:space="preserve"> ZA et al. </w:t>
      </w:r>
      <w:r w:rsidRPr="00071434">
        <w:rPr>
          <w:rFonts w:asciiTheme="minorHAnsi" w:hAnsiTheme="minorHAnsi"/>
          <w:sz w:val="10"/>
          <w:szCs w:val="10"/>
        </w:rPr>
        <w:t>Evidence-based Interventions for improvement of maternal and child nutrition: what can be done and at what cost? Lance</w:t>
      </w:r>
      <w:r w:rsidR="00071434" w:rsidRPr="00071434">
        <w:rPr>
          <w:rFonts w:asciiTheme="minorHAnsi" w:hAnsiTheme="minorHAnsi"/>
          <w:sz w:val="10"/>
          <w:szCs w:val="10"/>
        </w:rPr>
        <w:t>t</w:t>
      </w:r>
      <w:r w:rsidRPr="00071434">
        <w:rPr>
          <w:rFonts w:asciiTheme="minorHAnsi" w:hAnsiTheme="minorHAnsi"/>
          <w:sz w:val="10"/>
          <w:szCs w:val="10"/>
        </w:rPr>
        <w:t xml:space="preserve"> 2013</w:t>
      </w:r>
      <w:r w:rsidRPr="004D45FF">
        <w:rPr>
          <w:sz w:val="10"/>
          <w:szCs w:val="10"/>
        </w:rPr>
        <w:t>; 382: 452-77</w:t>
      </w:r>
    </w:p>
  </w:endnote>
  <w:endnote w:id="8">
    <w:p w:rsidR="009961EF" w:rsidRDefault="009961EF">
      <w:pPr>
        <w:pStyle w:val="EndnoteText"/>
      </w:pPr>
      <w:r w:rsidRPr="004D45FF">
        <w:rPr>
          <w:rStyle w:val="EndnoteReference"/>
          <w:sz w:val="10"/>
          <w:szCs w:val="10"/>
        </w:rPr>
        <w:endnoteRef/>
      </w:r>
      <w:r w:rsidRPr="004D45FF">
        <w:rPr>
          <w:sz w:val="10"/>
          <w:szCs w:val="10"/>
        </w:rPr>
        <w:t xml:space="preserve"> </w:t>
      </w:r>
      <w:proofErr w:type="gramStart"/>
      <w:r w:rsidRPr="004D45FF">
        <w:rPr>
          <w:rFonts w:asciiTheme="minorHAnsi" w:hAnsiTheme="minorHAnsi"/>
          <w:sz w:val="10"/>
          <w:szCs w:val="10"/>
        </w:rPr>
        <w:t xml:space="preserve">Global </w:t>
      </w:r>
      <w:proofErr w:type="spellStart"/>
      <w:r w:rsidRPr="004D45FF">
        <w:rPr>
          <w:rFonts w:asciiTheme="minorHAnsi" w:hAnsiTheme="minorHAnsi"/>
          <w:sz w:val="10"/>
          <w:szCs w:val="10"/>
        </w:rPr>
        <w:t>Nutriton</w:t>
      </w:r>
      <w:proofErr w:type="spellEnd"/>
      <w:r w:rsidRPr="004D45FF">
        <w:rPr>
          <w:rFonts w:asciiTheme="minorHAnsi" w:hAnsiTheme="minorHAnsi"/>
          <w:sz w:val="10"/>
          <w:szCs w:val="10"/>
        </w:rPr>
        <w:t xml:space="preserve"> Targets 2025.</w:t>
      </w:r>
      <w:proofErr w:type="gramEnd"/>
      <w:r w:rsidRPr="004D45FF">
        <w:rPr>
          <w:rFonts w:asciiTheme="minorHAnsi" w:hAnsiTheme="minorHAnsi"/>
          <w:sz w:val="10"/>
          <w:szCs w:val="10"/>
        </w:rPr>
        <w:t xml:space="preserve"> </w:t>
      </w:r>
      <w:proofErr w:type="gramStart"/>
      <w:r w:rsidRPr="004D45FF">
        <w:rPr>
          <w:rFonts w:asciiTheme="minorHAnsi" w:hAnsiTheme="minorHAnsi"/>
          <w:sz w:val="10"/>
          <w:szCs w:val="10"/>
        </w:rPr>
        <w:t>Childhood Overweight Policy Brief.</w:t>
      </w:r>
      <w:proofErr w:type="gramEnd"/>
      <w:r w:rsidRPr="004D45FF">
        <w:rPr>
          <w:rFonts w:asciiTheme="minorHAnsi" w:hAnsiTheme="minorHAnsi"/>
          <w:sz w:val="10"/>
          <w:szCs w:val="10"/>
        </w:rPr>
        <w:t xml:space="preserve"> </w:t>
      </w:r>
      <w:hyperlink r:id="rId8" w:history="1">
        <w:r w:rsidRPr="004D45FF">
          <w:rPr>
            <w:rStyle w:val="Hyperlink"/>
            <w:rFonts w:asciiTheme="minorHAnsi" w:hAnsiTheme="minorHAnsi"/>
            <w:sz w:val="10"/>
            <w:szCs w:val="10"/>
          </w:rPr>
          <w:t>http://apps.who.int/iris/bitstream/10665/149021/2/WHO_NMH_NHD_14.6_eng.pdf</w:t>
        </w:r>
      </w:hyperlink>
      <w:r w:rsidRPr="009961EF">
        <w:rPr>
          <w:rFonts w:asciiTheme="minorHAnsi" w:hAnsiTheme="minorHAnsi"/>
          <w:sz w:val="12"/>
          <w:szCs w:val="1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79" w:rsidRDefault="00844279">
      <w:pPr>
        <w:spacing w:line="240" w:lineRule="auto"/>
      </w:pPr>
      <w:r>
        <w:separator/>
      </w:r>
    </w:p>
  </w:footnote>
  <w:footnote w:type="continuationSeparator" w:id="0">
    <w:p w:rsidR="00844279" w:rsidRDefault="008442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08C4"/>
    <w:multiLevelType w:val="multilevel"/>
    <w:tmpl w:val="F6BAFC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59383D"/>
    <w:rsid w:val="00053B66"/>
    <w:rsid w:val="00071434"/>
    <w:rsid w:val="000A745C"/>
    <w:rsid w:val="000D274D"/>
    <w:rsid w:val="000E1B54"/>
    <w:rsid w:val="001312E4"/>
    <w:rsid w:val="001471D8"/>
    <w:rsid w:val="001476DF"/>
    <w:rsid w:val="001C69C5"/>
    <w:rsid w:val="0024431A"/>
    <w:rsid w:val="00271D71"/>
    <w:rsid w:val="002871E5"/>
    <w:rsid w:val="002B4A12"/>
    <w:rsid w:val="002D7DC1"/>
    <w:rsid w:val="002F29A6"/>
    <w:rsid w:val="003763FC"/>
    <w:rsid w:val="003D5744"/>
    <w:rsid w:val="00444D49"/>
    <w:rsid w:val="0047260C"/>
    <w:rsid w:val="00480693"/>
    <w:rsid w:val="004C65FA"/>
    <w:rsid w:val="004D45FF"/>
    <w:rsid w:val="00536714"/>
    <w:rsid w:val="00564D77"/>
    <w:rsid w:val="00582A1C"/>
    <w:rsid w:val="00586A75"/>
    <w:rsid w:val="0059383D"/>
    <w:rsid w:val="005D79B4"/>
    <w:rsid w:val="00612265"/>
    <w:rsid w:val="00614650"/>
    <w:rsid w:val="0062782F"/>
    <w:rsid w:val="006605AA"/>
    <w:rsid w:val="006A14EA"/>
    <w:rsid w:val="006B2EBE"/>
    <w:rsid w:val="00770B8D"/>
    <w:rsid w:val="00771BCD"/>
    <w:rsid w:val="00771DA6"/>
    <w:rsid w:val="00775BDF"/>
    <w:rsid w:val="007A37F3"/>
    <w:rsid w:val="00844279"/>
    <w:rsid w:val="008F5BF5"/>
    <w:rsid w:val="00905FB9"/>
    <w:rsid w:val="00916837"/>
    <w:rsid w:val="009961EF"/>
    <w:rsid w:val="00A0789A"/>
    <w:rsid w:val="00A12B32"/>
    <w:rsid w:val="00A557B5"/>
    <w:rsid w:val="00A56059"/>
    <w:rsid w:val="00AB659F"/>
    <w:rsid w:val="00AF682D"/>
    <w:rsid w:val="00B174F7"/>
    <w:rsid w:val="00B2350C"/>
    <w:rsid w:val="00B87DCC"/>
    <w:rsid w:val="00BA00DA"/>
    <w:rsid w:val="00BB5568"/>
    <w:rsid w:val="00BF2568"/>
    <w:rsid w:val="00C13D93"/>
    <w:rsid w:val="00C46980"/>
    <w:rsid w:val="00C471F9"/>
    <w:rsid w:val="00C870A4"/>
    <w:rsid w:val="00D326D3"/>
    <w:rsid w:val="00D45F3B"/>
    <w:rsid w:val="00D62A6D"/>
    <w:rsid w:val="00D7319C"/>
    <w:rsid w:val="00D84510"/>
    <w:rsid w:val="00DC77BE"/>
    <w:rsid w:val="00DF5AB2"/>
    <w:rsid w:val="00E12ABC"/>
    <w:rsid w:val="00EC09B7"/>
    <w:rsid w:val="00F11FBE"/>
    <w:rsid w:val="00F815D3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7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74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5744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5744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574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744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5744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D5744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3D5744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C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4510"/>
    <w:rPr>
      <w:color w:val="0000FF"/>
      <w:u w:val="single"/>
    </w:rPr>
  </w:style>
  <w:style w:type="character" w:customStyle="1" w:styleId="cit">
    <w:name w:val="cit"/>
    <w:basedOn w:val="DefaultParagraphFont"/>
    <w:rsid w:val="00F11F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059"/>
    <w:rPr>
      <w:b/>
      <w:bCs/>
      <w:sz w:val="20"/>
    </w:rPr>
  </w:style>
  <w:style w:type="character" w:customStyle="1" w:styleId="apple-converted-space">
    <w:name w:val="apple-converted-space"/>
    <w:basedOn w:val="DefaultParagraphFont"/>
    <w:rsid w:val="00D62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7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74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5744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5744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574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744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5744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D5744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3D5744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C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4510"/>
    <w:rPr>
      <w:color w:val="0000FF"/>
      <w:u w:val="single"/>
    </w:rPr>
  </w:style>
  <w:style w:type="character" w:customStyle="1" w:styleId="cit">
    <w:name w:val="cit"/>
    <w:basedOn w:val="DefaultParagraphFont"/>
    <w:rsid w:val="00F11F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059"/>
    <w:rPr>
      <w:b/>
      <w:bCs/>
      <w:sz w:val="20"/>
    </w:rPr>
  </w:style>
  <w:style w:type="character" w:customStyle="1" w:styleId="apple-converted-space">
    <w:name w:val="apple-converted-space"/>
    <w:basedOn w:val="DefaultParagraphFont"/>
    <w:rsid w:val="00D6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fpri.org/sites/default/files/publications/gnr14.pdf" TargetMode="External"/><Relationship Id="rId14" Type="http://schemas.openxmlformats.org/officeDocument/2006/relationships/customXml" Target="../customXml/item4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iris/bitstream/10665/149021/2/WHO_NMH_NHD_14.6_eng.pdf" TargetMode="External"/><Relationship Id="rId3" Type="http://schemas.openxmlformats.org/officeDocument/2006/relationships/hyperlink" Target="http://www.ncbi.nlm.nih.gov/entrez/eutils/elink.fcgi?dbfrom=pubmed&amp;retmode=ref&amp;cmd=prlinks&amp;id=20059703" TargetMode="External"/><Relationship Id="rId7" Type="http://schemas.openxmlformats.org/officeDocument/2006/relationships/hyperlink" Target="http://www.copenhagenconsensus.com/sites/default/files/malnutrition.pdf" TargetMode="External"/><Relationship Id="rId2" Type="http://schemas.openxmlformats.org/officeDocument/2006/relationships/hyperlink" Target="http://documents.wfp.org/stellent/groups/public/documents/newsroom/wfp263405.pdf" TargetMode="External"/><Relationship Id="rId1" Type="http://schemas.openxmlformats.org/officeDocument/2006/relationships/hyperlink" Target="http://siteresources.worldbank.org/HEALTHNUTRITIONANDPOPULATION/Resources/Peer-Reviewed-Publications/ScalingUpNutrition.pdf" TargetMode="External"/><Relationship Id="rId6" Type="http://schemas.openxmlformats.org/officeDocument/2006/relationships/hyperlink" Target="http://www.ifpri.org/sites/default/files/publications/gnr14.pdf" TargetMode="External"/><Relationship Id="rId5" Type="http://schemas.openxmlformats.org/officeDocument/2006/relationships/hyperlink" Target="http://www.mckinsey.com/insights/economic_studies/how_the_world_could_better_fight_obesity" TargetMode="External"/><Relationship Id="rId4" Type="http://schemas.openxmlformats.org/officeDocument/2006/relationships/hyperlink" Target="http://www.mckinsey.com/insights/economic_studies/how_the_world_could_better_fight_obes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a0009-2e1b-4edc-b4d3-23f450f15032">
      <Value>223</Value>
      <Value>110</Value>
      <Value>70</Value>
      <Value>126</Value>
    </TaxCatchAll>
    <c62d2a16d8c64439bad9557f40f14a73 xmlns="804a0009-2e1b-4edc-b4d3-23f450f150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aea2b048-a194-4dae-b255-9f42f0ee5a68</TermId>
        </TermInfo>
      </Terms>
    </c62d2a16d8c64439bad9557f40f14a73>
    <Description0 xmlns="http://schemas.microsoft.com/sharepoint.v3">This briefing paper examines investing in nutrition to achieve sustainable development. </Description0>
    <kd17dbc970664b69b4e69e53ca44ac55 xmlns="804a0009-2e1b-4edc-b4d3-23f450f150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Advocacy</TermName>
          <TermId xmlns="http://schemas.microsoft.com/office/infopath/2007/PartnerControls">94a21855-bea6-406a-827e-d8de5c0a6845</TermId>
        </TermInfo>
      </Terms>
    </kd17dbc970664b69b4e69e53ca44ac55>
    <IconOverlay xmlns="http://schemas.microsoft.com/sharepoint/v4" xsi:nil="true"/>
    <l421a83f0feb4eb5b50f4b7f3826055c xmlns="804a0009-2e1b-4edc-b4d3-23f450f150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Worldwide</TermName>
          <TermId xmlns="http://schemas.microsoft.com/office/infopath/2007/PartnerControls">b4275b1d-bbaf-4190-be6b-cb0e9a1d022d</TermId>
        </TermInfo>
      </Terms>
    </l421a83f0feb4eb5b50f4b7f3826055c>
    <gc4732adc7b14430b477778f19f3f1a7 xmlns="804a0009-2e1b-4edc-b4d3-23f450f150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Briefing Paper</TermName>
          <TermId xmlns="http://schemas.microsoft.com/office/infopath/2007/PartnerControls">7cf77c90-3c70-496f-be2f-b28c6c75ebed</TermId>
        </TermInfo>
      </Terms>
    </gc4732adc7b14430b477778f19f3f1a7>
    <External xmlns="9b22ab7b-74ac-4f60-81b0-e329b1172e7c">true</External>
    <Year xmlns="804a0009-2e1b-4edc-b4d3-23f450f15032">2015</Year>
    <KBCTMarker xmlns="804a0009-2e1b-4edc-b4d3-23f450f15032">Article</KBCTMarker>
    <Migrated_x0020_from_x0020_Drupal xmlns="9b22ab7b-74ac-4f60-81b0-e329b1172e7c">true</Migrated_x0020_from_x0020_Drupal>
    <eb5dd72f347d4f10b95e30e421f9e743 xmlns="9b22ab7b-74ac-4f60-81b0-e329b1172e7c">
      <Terms xmlns="http://schemas.microsoft.com/office/infopath/2007/PartnerControls"/>
    </eb5dd72f347d4f10b95e30e421f9e743>
    <gaeb795a50b74d7286c1f48f2959761d xmlns="9b22ab7b-74ac-4f60-81b0-e329b1172e7c">
      <Terms xmlns="http://schemas.microsoft.com/office/infopath/2007/PartnerControls"/>
    </gaeb795a50b74d7286c1f48f2959761d>
    <f365c88cc6764e93af5da50923d99ce0 xmlns="9b22ab7b-74ac-4f60-81b0-e329b1172e7c">
      <Terms xmlns="http://schemas.microsoft.com/office/infopath/2007/PartnerControls"/>
    </f365c88cc6764e93af5da50923d99ce0>
    <Author0 xmlns="9b22ab7b-74ac-4f60-81b0-e329b1172e7c">Concern Worldwide</Author0>
    <f21919b5c8e14011a41081e18f16811c xmlns="9b22ab7b-74ac-4f60-81b0-e329b1172e7c">
      <Terms xmlns="http://schemas.microsoft.com/office/infopath/2007/PartnerControls"/>
    </f21919b5c8e14011a41081e18f16811c>
    <Introduction xmlns="9b22ab7b-74ac-4f60-81b0-e329b1172e7c">This briefing paper examines investing in nutrition to achieve sustainable development.</Introduction>
    <Abstract xmlns="9b22ab7b-74ac-4f60-81b0-e329b1172e7c">This briefing paper examines investing in nutrition to achieve sustainable development.</Abstract>
    <External_x0020_Image xmlns="9b22ab7b-74ac-4f60-81b0-e329b1172e7c">
      <Url>https://concern2com.sharepoint.com/sites/KExchange/External%20Publications%20Images/11285.jpg</Url>
      <Description>https://concern2com.sharepoint.com/sites/KExchange/External%20Publications%20Images/11285.jpg</Description>
    </External_x0020_Image>
    <Overridden xmlns="9b22ab7b-74ac-4f60-81b0-e329b1172e7c">false</Overridden>
    <Theme0 xmlns="9b22ab7b-74ac-4f60-81b0-e329b1172e7c">Food &amp; Nutrition</Theme0>
    <date xmlns="9b22ab7b-74ac-4f60-81b0-e329b1172e7c" xsi:nil="true"/>
    <Article_x0020_Category xmlns="9b22ab7b-74ac-4f60-81b0-e329b1172e7c">Learning</Article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ation" ma:contentTypeID="0x010100B18617695585384CB7D6C977765D3BB300BECCCC8E38DA374C8D3A9D5646DC357B" ma:contentTypeVersion="45" ma:contentTypeDescription="" ma:contentTypeScope="" ma:versionID="b8e6a29ffa3b91e05d8d5b1f0c46a85a">
  <xsd:schema xmlns:xsd="http://www.w3.org/2001/XMLSchema" xmlns:xs="http://www.w3.org/2001/XMLSchema" xmlns:p="http://schemas.microsoft.com/office/2006/metadata/properties" xmlns:ns2="804a0009-2e1b-4edc-b4d3-23f450f15032" xmlns:ns3="http://schemas.microsoft.com/sharepoint.v3" xmlns:ns4="9b22ab7b-74ac-4f60-81b0-e329b1172e7c" xmlns:ns5="http://schemas.microsoft.com/sharepoint/v4" targetNamespace="http://schemas.microsoft.com/office/2006/metadata/properties" ma:root="true" ma:fieldsID="3077fae63f3b67ef04a59a7a118cda18" ns2:_="" ns3:_="" ns4:_="" ns5:_="">
    <xsd:import namespace="804a0009-2e1b-4edc-b4d3-23f450f15032"/>
    <xsd:import namespace="http://schemas.microsoft.com/sharepoint.v3"/>
    <xsd:import namespace="9b22ab7b-74ac-4f60-81b0-e329b1172e7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escription0" minOccurs="0"/>
                <xsd:element ref="ns4:Author0" minOccurs="0"/>
                <xsd:element ref="ns4:Theme0" minOccurs="0"/>
                <xsd:element ref="ns4:External" minOccurs="0"/>
                <xsd:element ref="ns4:Introduction" minOccurs="0"/>
                <xsd:element ref="ns4:Abstract" minOccurs="0"/>
                <xsd:element ref="ns4:External_x0020_Image" minOccurs="0"/>
                <xsd:element ref="ns4:Article_x0020_Category" minOccurs="0"/>
                <xsd:element ref="ns4:Overridden" minOccurs="0"/>
                <xsd:element ref="ns4:Migrated_x0020_from_x0020_Drupal" minOccurs="0"/>
                <xsd:element ref="ns2:SharingHintHash" minOccurs="0"/>
                <xsd:element ref="ns2:SharedWithDetails" minOccurs="0"/>
                <xsd:element ref="ns2:TaxCatchAllLabel" minOccurs="0"/>
                <xsd:element ref="ns5:IconOverlay" minOccurs="0"/>
                <xsd:element ref="ns2:KBCTMarker" minOccurs="0"/>
                <xsd:element ref="ns2:gc4732adc7b14430b477778f19f3f1a7" minOccurs="0"/>
                <xsd:element ref="ns4:eb5dd72f347d4f10b95e30e421f9e743" minOccurs="0"/>
                <xsd:element ref="ns4:f365c88cc6764e93af5da50923d99ce0" minOccurs="0"/>
                <xsd:element ref="ns2:kd17dbc970664b69b4e69e53ca44ac55" minOccurs="0"/>
                <xsd:element ref="ns4:f21919b5c8e14011a41081e18f16811c" minOccurs="0"/>
                <xsd:element ref="ns4:gaeb795a50b74d7286c1f48f2959761d" minOccurs="0"/>
                <xsd:element ref="ns2:TaxCatchAll" minOccurs="0"/>
                <xsd:element ref="ns2:c62d2a16d8c64439bad9557f40f14a73" minOccurs="0"/>
                <xsd:element ref="ns2:l421a83f0feb4eb5b50f4b7f3826055c" minOccurs="0"/>
                <xsd:element ref="ns2:SharedWithUsers" minOccurs="0"/>
                <xsd:element ref="ns4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a0009-2e1b-4edc-b4d3-23f450f15032" elementFormDefault="qualified">
    <xsd:import namespace="http://schemas.microsoft.com/office/2006/documentManagement/types"/>
    <xsd:import namespace="http://schemas.microsoft.com/office/infopath/2007/PartnerControls"/>
    <xsd:element name="Year" ma:index="4" nillable="true" ma:displayName="Year" ma:default="2014" ma:description="Year in YYYY format" ma:internalName="Year">
      <xsd:simpleType>
        <xsd:restriction base="dms:Text">
          <xsd:maxLength value="4"/>
        </xsd:restriction>
      </xsd:simpleType>
    </xsd:element>
    <xsd:element name="SharingHintHash" ma:index="21" nillable="true" ma:displayName="Sharing Hint Hash" ma:internalName="SharingHintHash" ma:readOnly="true">
      <xsd:simpleType>
        <xsd:restriction base="dms:Text"/>
      </xsd:simple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Label" ma:index="23" nillable="true" ma:displayName="Taxonomy Catch All Column1" ma:hidden="true" ma:list="{555e8df0-efb0-4f98-b1e1-036c23ea87fc}" ma:internalName="TaxCatchAllLabel" ma:readOnly="true" ma:showField="CatchAllDataLabel" ma:web="804a0009-2e1b-4edc-b4d3-23f450f15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BCTMarker" ma:index="26" nillable="true" ma:displayName="KB CT Marker" ma:default="Article" ma:description="Content Type marker for use in Search, do not delete" ma:format="Dropdown" ma:hidden="true" ma:internalName="KBCTMarker" ma:readOnly="false">
      <xsd:simpleType>
        <xsd:restriction base="dms:Choice">
          <xsd:enumeration value="Article"/>
          <xsd:enumeration value="Publication"/>
          <xsd:enumeration value="Other"/>
        </xsd:restriction>
      </xsd:simpleType>
    </xsd:element>
    <xsd:element name="gc4732adc7b14430b477778f19f3f1a7" ma:index="29" nillable="true" ma:taxonomy="true" ma:internalName="gc4732adc7b14430b477778f19f3f1a7" ma:taxonomyFieldName="Theme" ma:displayName="Document Type" ma:default="" ma:fieldId="{0c4732ad-c7b1-4430-b477-778f19f3f1a7}" ma:sspId="6b539fac-adca-4a50-b836-09533ddb967a" ma:termSetId="37b968a0-c6b9-4c0e-8912-d6e7f4beef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17dbc970664b69b4e69e53ca44ac55" ma:index="33" nillable="true" ma:taxonomy="true" ma:internalName="kd17dbc970664b69b4e69e53ca44ac55" ma:taxonomyFieldName="KBKeywords" ma:displayName="Keywords" ma:default="" ma:fieldId="{4d17dbc9-7066-4b69-b4e6-9e53ca44ac55}" ma:taxonomyMulti="true" ma:sspId="6b539fac-adca-4a50-b836-09533ddb967a" ma:termSetId="639081ab-5ebe-4c86-8134-908d0d404504" ma:anchorId="15639003-fdbc-432f-8f68-bd274bd1b616" ma:open="tru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555e8df0-efb0-4f98-b1e1-036c23ea87fc}" ma:internalName="TaxCatchAll" ma:showField="CatchAllData" ma:web="804a0009-2e1b-4edc-b4d3-23f450f15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2d2a16d8c64439bad9557f40f14a73" ma:index="39" nillable="true" ma:taxonomy="true" ma:internalName="c62d2a16d8c64439bad9557f40f14a73" ma:taxonomyFieldName="DocumentLanguage" ma:displayName="Document Language" ma:default="" ma:fieldId="{c62d2a16-d8c6-4439-bad9-557f40f14a73}" ma:sspId="6b539fac-adca-4a50-b836-09533ddb967a" ma:termSetId="2b99d335-8838-4a13-aa8e-39b5233dbe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21a83f0feb4eb5b50f4b7f3826055c" ma:index="40" nillable="true" ma:taxonomy="true" ma:internalName="l421a83f0feb4eb5b50f4b7f3826055c" ma:taxonomyFieldName="KBTags" ma:displayName="Locations" ma:default="" ma:fieldId="{5421a83f-0feb-4eb5-b50f-4b7f3826055c}" ma:taxonomyMulti="true" ma:sspId="6b539fac-adca-4a50-b836-09533ddb967a" ma:termSetId="22063731-f686-459a-aaf1-69b6cfcf09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Description0" ma:index="6" nillable="true" ma:displayName="Description" ma:internalName="Description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ab7b-74ac-4f60-81b0-e329b1172e7c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internalName="Author0">
      <xsd:simpleType>
        <xsd:restriction base="dms:Text">
          <xsd:maxLength value="255"/>
        </xsd:restriction>
      </xsd:simpleType>
    </xsd:element>
    <xsd:element name="Theme0" ma:index="9" nillable="true" ma:displayName="Theme" ma:format="Dropdown" ma:internalName="Theme0">
      <xsd:simpleType>
        <xsd:restriction base="dms:Choice">
          <xsd:enumeration value="Food &amp; Nutrition"/>
          <xsd:enumeration value="Health &amp; HIV"/>
          <xsd:enumeration value="Emergencies"/>
          <xsd:enumeration value="Livelihoods"/>
          <xsd:enumeration value="Education"/>
          <xsd:enumeration value="Approaches"/>
        </xsd:restriction>
      </xsd:simpleType>
    </xsd:element>
    <xsd:element name="External" ma:index="10" nillable="true" ma:displayName="External" ma:default="0" ma:description="Is this content suitable for external publication" ma:indexed="true" ma:internalName="External">
      <xsd:simpleType>
        <xsd:restriction base="dms:Boolean"/>
      </xsd:simpleType>
    </xsd:element>
    <xsd:element name="Introduction" ma:index="11" nillable="true" ma:displayName="Introduction" ma:description="DRUPAL field only. Use this field if this content is published externally to Concern.net resources website." ma:internalName="Introduction">
      <xsd:simpleType>
        <xsd:restriction base="dms:Note"/>
      </xsd:simpleType>
    </xsd:element>
    <xsd:element name="Abstract" ma:index="12" nillable="true" ma:displayName="Abstract" ma:description="DRUPAL field only. Use this field if this content is published externally to Concern.net resources website." ma:internalName="Abstract">
      <xsd:simpleType>
        <xsd:restriction base="dms:Note"/>
      </xsd:simpleType>
    </xsd:element>
    <xsd:element name="External_x0020_Image" ma:index="17" nillable="true" ma:displayName="External Image" ma:format="Hyperlink" ma:internalName="External_x0020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ticle_x0020_Category" ma:index="18" nillable="true" ma:displayName="Article Category" ma:description="Drupal Field - External use" ma:format="Dropdown" ma:internalName="Article_x0020_Category">
      <xsd:simpleType>
        <xsd:restriction base="dms:Choice">
          <xsd:enumeration value="DRR"/>
          <xsd:enumeration value="Graduation"/>
          <xsd:enumeration value="Innovations"/>
          <xsd:enumeration value="Learning"/>
          <xsd:enumeration value="Gender Equality"/>
          <xsd:enumeration value="Conservation Agriculture"/>
          <xsd:enumeration value="M&amp;E"/>
        </xsd:restriction>
      </xsd:simpleType>
    </xsd:element>
    <xsd:element name="Overridden" ma:index="19" nillable="true" ma:displayName="Overridden" ma:default="0" ma:description="DRUPAL field only." ma:internalName="Overridden">
      <xsd:simpleType>
        <xsd:restriction base="dms:Boolean"/>
      </xsd:simpleType>
    </xsd:element>
    <xsd:element name="Migrated_x0020_from_x0020_Drupal" ma:index="20" nillable="true" ma:displayName="Migrated from Drupal" ma:default="0" ma:description="DRUPAL field only." ma:internalName="Migrated_x0020_from_x0020_Drupal">
      <xsd:simpleType>
        <xsd:restriction base="dms:Boolean"/>
      </xsd:simpleType>
    </xsd:element>
    <xsd:element name="eb5dd72f347d4f10b95e30e421f9e743" ma:index="30" nillable="true" ma:taxonomy="true" ma:internalName="eb5dd72f347d4f10b95e30e421f9e743" ma:taxonomyFieldName="World_x0020_Region" ma:displayName="World Region" ma:default="" ma:fieldId="{eb5dd72f-347d-4f10-b95e-30e421f9e743}" ma:taxonomyMulti="true" ma:sspId="6b539fac-adca-4a50-b836-09533ddb967a" ma:termSetId="1558612d-d5b8-40dc-a2b5-e5a239a51bc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5c88cc6764e93af5da50923d99ce0" ma:index="32" nillable="true" ma:taxonomy="true" ma:internalName="f365c88cc6764e93af5da50923d99ce0" ma:taxonomyFieldName="Resource_x0020_Type" ma:displayName="Resource Type" ma:default="" ma:fieldId="{f365c88c-c676-4e93-af5d-a50923d99ce0}" ma:taxonomyMulti="true" ma:sspId="6b539fac-adca-4a50-b836-09533ddb967a" ma:termSetId="be9fc615-9140-4af8-b6a8-f806b5eef51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21919b5c8e14011a41081e18f16811c" ma:index="34" nillable="true" ma:taxonomy="true" ma:internalName="f21919b5c8e14011a41081e18f16811c" ma:taxonomyFieldName="Project" ma:displayName="Project" ma:default="" ma:fieldId="{f21919b5-c8e1-4011-a410-81e18f16811c}" ma:taxonomyMulti="true" ma:sspId="6b539fac-adca-4a50-b836-09533ddb967a" ma:termSetId="4774518e-f39e-41df-8ab5-842ee349797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aeb795a50b74d7286c1f48f2959761d" ma:index="36" nillable="true" ma:taxonomy="true" ma:internalName="gaeb795a50b74d7286c1f48f2959761d" ma:taxonomyFieldName="External_x0020_Keywords" ma:displayName="External Keywords" ma:default="" ma:fieldId="{0aeb795a-50b7-4d72-86c1-f48f2959761d}" ma:taxonomyMulti="true" ma:sspId="6b539fac-adca-4a50-b836-09533ddb967a" ma:termSetId="e1c449ee-8853-494f-9b06-0d9620fe1a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" ma:index="4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D7FBA-A36B-4AED-B13B-83C135874E50}"/>
</file>

<file path=customXml/itemProps2.xml><?xml version="1.0" encoding="utf-8"?>
<ds:datastoreItem xmlns:ds="http://schemas.openxmlformats.org/officeDocument/2006/customXml" ds:itemID="{20A9DFCE-85E4-409C-91D2-794BF796463A}"/>
</file>

<file path=customXml/itemProps3.xml><?xml version="1.0" encoding="utf-8"?>
<ds:datastoreItem xmlns:ds="http://schemas.openxmlformats.org/officeDocument/2006/customXml" ds:itemID="{87EA01B1-A509-4FCC-AB7D-0A39B8445AEB}"/>
</file>

<file path=customXml/itemProps4.xml><?xml version="1.0" encoding="utf-8"?>
<ds:datastoreItem xmlns:ds="http://schemas.openxmlformats.org/officeDocument/2006/customXml" ds:itemID="{28AFBE1E-F76E-433F-B3F1-E12DA5237D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5925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Concern Worldwide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Investing in Nutrition to Achieve Sustainable Development</dc:title>
  <dc:creator>Leni Martinez</dc:creator>
  <cp:lastModifiedBy>Kai Matturi</cp:lastModifiedBy>
  <cp:revision>2</cp:revision>
  <cp:lastPrinted>2015-06-11T17:53:00Z</cp:lastPrinted>
  <dcterms:created xsi:type="dcterms:W3CDTF">2015-10-01T10:50:00Z</dcterms:created>
  <dcterms:modified xsi:type="dcterms:W3CDTF">2015-10-01T10:50:00Z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0x010100B18617695585384CB7D6C977765D3BB300BECCCC8E38DA374C8D3A9D5646DC357B</vt:lpwstr>
  </property>
  <property fmtid="{D5CDD505-2E9C-101B-9397-08002B2CF9AE}" pid="3" name="KBTags">
    <vt:lpwstr>110;#Worldwide|b4275b1d-bbaf-4190-be6b-cb0e9a1d022d</vt:lpwstr>
  </property>
  <property fmtid="{D5CDD505-2E9C-101B-9397-08002B2CF9AE}" pid="4" name="Theme">
    <vt:lpwstr>126;#Briefing Paper|7cf77c90-3c70-496f-be2f-b28c6c75ebed</vt:lpwstr>
  </property>
  <property fmtid="{D5CDD505-2E9C-101B-9397-08002B2CF9AE}" pid="5" name="DocumentLanguage">
    <vt:lpwstr>70;#English|aea2b048-a194-4dae-b255-9f42f0ee5a68</vt:lpwstr>
  </property>
  <property fmtid="{D5CDD505-2E9C-101B-9397-08002B2CF9AE}" pid="6" name="KBKeywords">
    <vt:lpwstr>223;#Advocacy|94a21855-bea6-406a-827e-d8de5c0a6845</vt:lpwstr>
  </property>
  <property fmtid="{D5CDD505-2E9C-101B-9397-08002B2CF9AE}" pid="7" name="Project">
    <vt:lpwstr/>
  </property>
  <property fmtid="{D5CDD505-2E9C-101B-9397-08002B2CF9AE}" pid="8" name="World Region">
    <vt:lpwstr/>
  </property>
  <property fmtid="{D5CDD505-2E9C-101B-9397-08002B2CF9AE}" pid="9" name="Resource Type">
    <vt:lpwstr/>
  </property>
  <property fmtid="{D5CDD505-2E9C-101B-9397-08002B2CF9AE}" pid="10" name="External Keywords">
    <vt:lpwstr/>
  </property>
  <property fmtid="{D5CDD505-2E9C-101B-9397-08002B2CF9AE}" pid="12" name="Primary Image">
    <vt:lpwstr>, </vt:lpwstr>
  </property>
  <property fmtid="{D5CDD505-2E9C-101B-9397-08002B2CF9AE}" pid="14" name="URL">
    <vt:lpwstr/>
  </property>
</Properties>
</file>