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3122424"/>
        <w:docPartObj>
          <w:docPartGallery w:val="Cover Pages"/>
          <w:docPartUnique/>
        </w:docPartObj>
      </w:sdtPr>
      <w:sdtEndPr/>
      <w:sdtContent>
        <w:p w14:paraId="4605859F" w14:textId="77777777" w:rsidR="00AD62F0" w:rsidRDefault="00AD62F0">
          <w:r>
            <w:rPr>
              <w:noProof/>
              <w:lang w:val="en-IE" w:eastAsia="en-IE"/>
            </w:rPr>
            <mc:AlternateContent>
              <mc:Choice Requires="wpg">
                <w:drawing>
                  <wp:anchor distT="0" distB="0" distL="114300" distR="114300" simplePos="0" relativeHeight="251659264" behindDoc="1" locked="0" layoutInCell="1" allowOverlap="1" wp14:anchorId="5F9CB1D0" wp14:editId="195E6E34">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F749FEB" w14:textId="77777777" w:rsidR="00C83111" w:rsidRDefault="00C83111">
                                      <w:pPr>
                                        <w:pStyle w:val="NoSpacing"/>
                                        <w:rPr>
                                          <w:color w:val="FFFFFF" w:themeColor="background1"/>
                                          <w:sz w:val="32"/>
                                          <w:szCs w:val="32"/>
                                        </w:rPr>
                                      </w:pPr>
                                      <w:r>
                                        <w:rPr>
                                          <w:color w:val="FFFFFF" w:themeColor="background1"/>
                                          <w:sz w:val="32"/>
                                          <w:szCs w:val="32"/>
                                        </w:rPr>
                                        <w:t xml:space="preserve">Prepared by: Gabrielle </w:t>
                                      </w:r>
                                      <w:proofErr w:type="spellStart"/>
                                      <w:r>
                                        <w:rPr>
                                          <w:color w:val="FFFFFF" w:themeColor="background1"/>
                                          <w:sz w:val="32"/>
                                          <w:szCs w:val="32"/>
                                        </w:rPr>
                                        <w:t>Appleford</w:t>
                                      </w:r>
                                      <w:proofErr w:type="spellEnd"/>
                                    </w:p>
                                  </w:sdtContent>
                                </w:sdt>
                                <w:p w14:paraId="2827C766" w14:textId="77777777" w:rsidR="00C83111" w:rsidRDefault="009922DB">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3111">
                                        <w:rPr>
                                          <w:caps/>
                                          <w:color w:val="FFFFFF" w:themeColor="background1"/>
                                        </w:rPr>
                                        <w:t>Concern worldwide</w:t>
                                      </w:r>
                                    </w:sdtContent>
                                  </w:sdt>
                                  <w:r w:rsidR="00C83111">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83111">
                                        <w:rPr>
                                          <w:caps/>
                                          <w:color w:val="FFFFFF" w:themeColor="background1"/>
                                        </w:rPr>
                                        <w:t>KazKazi Rd</w:t>
                                      </w:r>
                                    </w:sdtContent>
                                  </w:sdt>
                                  <w:r w:rsidR="00C83111">
                                    <w:rPr>
                                      <w:caps/>
                                      <w:color w:val="FFFFFF" w:themeColor="background1"/>
                                    </w:rPr>
                                    <w:t>, Weslands, Nairobi</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48"/>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E074DF7" w14:textId="77777777" w:rsidR="00C83111" w:rsidRDefault="00C8311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48"/>
                                          <w:szCs w:val="48"/>
                                        </w:rPr>
                                        <w:t>MCH Services: why do caregivers not attend?</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46FDFB" w14:textId="77777777" w:rsidR="00C83111" w:rsidRDefault="00C83111">
                                      <w:pPr>
                                        <w:pStyle w:val="NoSpacing"/>
                                        <w:spacing w:before="240"/>
                                        <w:rPr>
                                          <w:caps/>
                                          <w:color w:val="44546A" w:themeColor="text2"/>
                                          <w:sz w:val="36"/>
                                          <w:szCs w:val="36"/>
                                        </w:rPr>
                                      </w:pPr>
                                      <w:r>
                                        <w:rPr>
                                          <w:caps/>
                                          <w:color w:val="44546A" w:themeColor="text2"/>
                                          <w:sz w:val="36"/>
                                          <w:szCs w:val="36"/>
                                        </w:rPr>
                                        <w:t xml:space="preserve">A </w:t>
                                      </w:r>
                                      <w:r w:rsidRPr="00AD62F0">
                                        <w:rPr>
                                          <w:caps/>
                                          <w:color w:val="44546A" w:themeColor="text2"/>
                                          <w:sz w:val="36"/>
                                          <w:szCs w:val="36"/>
                                        </w:rPr>
                                        <w:t xml:space="preserve">Review of </w:t>
                                      </w:r>
                                      <w:r>
                                        <w:rPr>
                                          <w:caps/>
                                          <w:color w:val="44546A" w:themeColor="text2"/>
                                          <w:sz w:val="36"/>
                                          <w:szCs w:val="36"/>
                                        </w:rPr>
                                        <w:t xml:space="preserve">barriers to the utilisation of </w:t>
                                      </w:r>
                                      <w:r w:rsidRPr="00AD62F0">
                                        <w:rPr>
                                          <w:caps/>
                                          <w:color w:val="44546A" w:themeColor="text2"/>
                                          <w:sz w:val="36"/>
                                          <w:szCs w:val="36"/>
                                        </w:rPr>
                                        <w:t xml:space="preserve">Maternal and Child Health </w:t>
                                      </w:r>
                                      <w:r>
                                        <w:rPr>
                                          <w:caps/>
                                          <w:color w:val="44546A" w:themeColor="text2"/>
                                          <w:sz w:val="36"/>
                                          <w:szCs w:val="36"/>
                                        </w:rPr>
                                        <w:t>services</w:t>
                                      </w:r>
                                      <w:r w:rsidRPr="00AD62F0">
                                        <w:rPr>
                                          <w:caps/>
                                          <w:color w:val="44546A" w:themeColor="text2"/>
                                          <w:sz w:val="36"/>
                                          <w:szCs w:val="36"/>
                                        </w:rPr>
                                        <w:t xml:space="preserve"> in Nairobi </w:t>
                                      </w:r>
                                      <w:r>
                                        <w:rPr>
                                          <w:caps/>
                                          <w:color w:val="44546A" w:themeColor="text2"/>
                                          <w:sz w:val="36"/>
                                          <w:szCs w:val="36"/>
                                        </w:rPr>
                                        <w:t>informal settlements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w14:anchorId="5F9CB1D0"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p8cMA&#10;AADcAAAADwAAAGRycy9kb3ducmV2LnhtbERPS2vCQBC+C/0PyxS86cYcVFJXCUKhvQQaX/Q2zU6T&#10;kOxsyG5j/PddQfA2H99zNrvRtGKg3tWWFSzmEQjiwuqaSwXHw/tsDcJ5ZI2tZVJwIwe77ctkg4m2&#10;V/6iIfelCCHsElRQed8lUrqiIoNubjviwP3a3qAPsC+l7vEawk0r4yhaSoM1h4YKO9pXVDT5n1Fw&#10;TrM4lzo7FLb9OZXN5+17ddkrNX0d0zcQnkb/FD/cHzrMjxdwfyZ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xp8cMAAADcAAAADwAAAAAAAAAAAAAAAACYAgAAZHJzL2Rv&#10;d25yZXYueG1sUEsFBgAAAAAEAAQA9QAAAIgDAAAAAA==&#10;" fillcolor="#1f3763 [1608]"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F749FEB" w14:textId="77777777" w:rsidR="00C83111" w:rsidRDefault="00C83111">
                                <w:pPr>
                                  <w:pStyle w:val="NoSpacing"/>
                                  <w:rPr>
                                    <w:color w:val="FFFFFF" w:themeColor="background1"/>
                                    <w:sz w:val="32"/>
                                    <w:szCs w:val="32"/>
                                  </w:rPr>
                                </w:pPr>
                                <w:r>
                                  <w:rPr>
                                    <w:color w:val="FFFFFF" w:themeColor="background1"/>
                                    <w:sz w:val="32"/>
                                    <w:szCs w:val="32"/>
                                  </w:rPr>
                                  <w:t>Prepared by: Gabrielle Appleford</w:t>
                                </w:r>
                              </w:p>
                            </w:sdtContent>
                          </w:sdt>
                          <w:p w14:paraId="2827C766" w14:textId="77777777" w:rsidR="00C83111" w:rsidRDefault="00FB574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3111">
                                  <w:rPr>
                                    <w:caps/>
                                    <w:color w:val="FFFFFF" w:themeColor="background1"/>
                                  </w:rPr>
                                  <w:t>Concern worldwide</w:t>
                                </w:r>
                              </w:sdtContent>
                            </w:sdt>
                            <w:r w:rsidR="00C83111">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83111">
                                  <w:rPr>
                                    <w:caps/>
                                    <w:color w:val="FFFFFF" w:themeColor="background1"/>
                                  </w:rPr>
                                  <w:t>KazKazi Rd</w:t>
                                </w:r>
                              </w:sdtContent>
                            </w:sdt>
                            <w:r w:rsidR="00C83111">
                              <w:rPr>
                                <w:caps/>
                                <w:color w:val="FFFFFF" w:themeColor="background1"/>
                              </w:rPr>
                              <w:t>, Weslands, Nairobi</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48"/>
                                <w:szCs w:val="4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E074DF7" w14:textId="77777777" w:rsidR="00C83111" w:rsidRDefault="00C8311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48"/>
                                    <w:szCs w:val="48"/>
                                  </w:rPr>
                                  <w:t>MCH Services: why do caregivers not attend?</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46FDFB" w14:textId="77777777" w:rsidR="00C83111" w:rsidRDefault="00C83111">
                                <w:pPr>
                                  <w:pStyle w:val="NoSpacing"/>
                                  <w:spacing w:before="240"/>
                                  <w:rPr>
                                    <w:caps/>
                                    <w:color w:val="44546A" w:themeColor="text2"/>
                                    <w:sz w:val="36"/>
                                    <w:szCs w:val="36"/>
                                  </w:rPr>
                                </w:pPr>
                                <w:r>
                                  <w:rPr>
                                    <w:caps/>
                                    <w:color w:val="44546A" w:themeColor="text2"/>
                                    <w:sz w:val="36"/>
                                    <w:szCs w:val="36"/>
                                  </w:rPr>
                                  <w:t xml:space="preserve">A </w:t>
                                </w:r>
                                <w:r w:rsidRPr="00AD62F0">
                                  <w:rPr>
                                    <w:caps/>
                                    <w:color w:val="44546A" w:themeColor="text2"/>
                                    <w:sz w:val="36"/>
                                    <w:szCs w:val="36"/>
                                  </w:rPr>
                                  <w:t xml:space="preserve">Review of </w:t>
                                </w:r>
                                <w:r>
                                  <w:rPr>
                                    <w:caps/>
                                    <w:color w:val="44546A" w:themeColor="text2"/>
                                    <w:sz w:val="36"/>
                                    <w:szCs w:val="36"/>
                                  </w:rPr>
                                  <w:t xml:space="preserve">barriers to the utilisation of </w:t>
                                </w:r>
                                <w:r w:rsidRPr="00AD62F0">
                                  <w:rPr>
                                    <w:caps/>
                                    <w:color w:val="44546A" w:themeColor="text2"/>
                                    <w:sz w:val="36"/>
                                    <w:szCs w:val="36"/>
                                  </w:rPr>
                                  <w:t xml:space="preserve">Maternal and Child Health </w:t>
                                </w:r>
                                <w:r>
                                  <w:rPr>
                                    <w:caps/>
                                    <w:color w:val="44546A" w:themeColor="text2"/>
                                    <w:sz w:val="36"/>
                                    <w:szCs w:val="36"/>
                                  </w:rPr>
                                  <w:t>services</w:t>
                                </w:r>
                                <w:r w:rsidRPr="00AD62F0">
                                  <w:rPr>
                                    <w:caps/>
                                    <w:color w:val="44546A" w:themeColor="text2"/>
                                    <w:sz w:val="36"/>
                                    <w:szCs w:val="36"/>
                                  </w:rPr>
                                  <w:t xml:space="preserve"> in Nairobi </w:t>
                                </w:r>
                                <w:r>
                                  <w:rPr>
                                    <w:caps/>
                                    <w:color w:val="44546A" w:themeColor="text2"/>
                                    <w:sz w:val="36"/>
                                    <w:szCs w:val="36"/>
                                  </w:rPr>
                                  <w:t>informal settlements</w:t>
                                </w:r>
                              </w:p>
                            </w:sdtContent>
                          </w:sdt>
                        </w:txbxContent>
                      </v:textbox>
                    </v:shape>
                    <w10:wrap anchorx="page" anchory="page"/>
                  </v:group>
                </w:pict>
              </mc:Fallback>
            </mc:AlternateContent>
          </w:r>
        </w:p>
        <w:p w14:paraId="5CE3EF64" w14:textId="77777777" w:rsidR="003B003E" w:rsidRDefault="00AD62F0" w:rsidP="003B0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br w:type="page"/>
          </w:r>
          <w:sdt>
            <w:sdtPr>
              <w:rPr>
                <w:rFonts w:asciiTheme="majorHAnsi" w:eastAsiaTheme="majorEastAsia" w:hAnsiTheme="majorHAnsi" w:cstheme="majorBidi"/>
                <w:color w:val="595959" w:themeColor="text1" w:themeTint="A6"/>
                <w:sz w:val="24"/>
                <w:szCs w:val="24"/>
              </w:rPr>
              <w:alias w:val="Title"/>
              <w:tag w:val=""/>
              <w:id w:val="172431"/>
              <w:dataBinding w:prefixMappings="xmlns:ns0='http://purl.org/dc/elements/1.1/' xmlns:ns1='http://schemas.openxmlformats.org/package/2006/metadata/core-properties' " w:xpath="/ns1:coreProperties[1]/ns0:title[1]" w:storeItemID="{6C3C8BC8-F283-45AE-878A-BAB7291924A1}"/>
              <w:text/>
            </w:sdtPr>
            <w:sdtEndPr/>
            <w:sdtContent>
              <w:r w:rsidR="006B1A3B">
                <w:rPr>
                  <w:rFonts w:asciiTheme="majorHAnsi" w:eastAsiaTheme="majorEastAsia" w:hAnsiTheme="majorHAnsi" w:cstheme="majorBidi"/>
                  <w:color w:val="595959" w:themeColor="text1" w:themeTint="A6"/>
                  <w:sz w:val="24"/>
                  <w:szCs w:val="24"/>
                </w:rPr>
                <w:t>MCH Services: why do caregivers not attend?</w:t>
              </w:r>
            </w:sdtContent>
          </w:sdt>
        </w:p>
        <w:p w14:paraId="2F63A5DF" w14:textId="77777777" w:rsidR="00AD62F0" w:rsidRDefault="009922DB"/>
      </w:sdtContent>
    </w:sdt>
    <w:sdt>
      <w:sdtPr>
        <w:rPr>
          <w:rFonts w:asciiTheme="minorHAnsi" w:eastAsiaTheme="minorHAnsi" w:hAnsiTheme="minorHAnsi" w:cstheme="minorBidi"/>
          <w:color w:val="auto"/>
          <w:sz w:val="22"/>
          <w:szCs w:val="22"/>
        </w:rPr>
        <w:id w:val="341211338"/>
        <w:docPartObj>
          <w:docPartGallery w:val="Table of Contents"/>
          <w:docPartUnique/>
        </w:docPartObj>
      </w:sdtPr>
      <w:sdtEndPr>
        <w:rPr>
          <w:b/>
          <w:bCs/>
          <w:noProof/>
        </w:rPr>
      </w:sdtEndPr>
      <w:sdtContent>
        <w:p w14:paraId="3CE5F05D" w14:textId="13556846" w:rsidR="00A83CBC" w:rsidRPr="00A36E6E" w:rsidRDefault="00871BD0" w:rsidP="00A36E6E">
          <w:pPr>
            <w:pStyle w:val="TOCHeading"/>
          </w:pPr>
          <w:r>
            <w:t>Table of Contents</w:t>
          </w:r>
          <w:r w:rsidRPr="00A54E22">
            <w:rPr>
              <w:rFonts w:cstheme="minorHAnsi"/>
              <w:sz w:val="20"/>
              <w:szCs w:val="20"/>
            </w:rPr>
            <w:fldChar w:fldCharType="begin"/>
          </w:r>
          <w:r w:rsidRPr="00A54E22">
            <w:rPr>
              <w:rFonts w:cstheme="minorHAnsi"/>
              <w:sz w:val="20"/>
              <w:szCs w:val="20"/>
            </w:rPr>
            <w:instrText xml:space="preserve"> TOC \o "1-3" \h \z \u </w:instrText>
          </w:r>
          <w:r w:rsidRPr="00A54E22">
            <w:rPr>
              <w:rFonts w:cstheme="minorHAnsi"/>
              <w:sz w:val="20"/>
              <w:szCs w:val="20"/>
            </w:rPr>
            <w:fldChar w:fldCharType="separate"/>
          </w:r>
        </w:p>
        <w:p w14:paraId="5C42F3C7" w14:textId="77777777" w:rsidR="00A83CBC" w:rsidRPr="00A83CBC" w:rsidRDefault="009922DB">
          <w:pPr>
            <w:pStyle w:val="TOC1"/>
            <w:tabs>
              <w:tab w:val="right" w:leader="dot" w:pos="9350"/>
            </w:tabs>
            <w:rPr>
              <w:rFonts w:ascii="Calibri" w:eastAsiaTheme="minorEastAsia" w:hAnsi="Calibri" w:cs="Calibri"/>
              <w:noProof/>
              <w:sz w:val="20"/>
              <w:szCs w:val="20"/>
              <w:lang w:val="en-GB" w:eastAsia="en-GB"/>
            </w:rPr>
          </w:pPr>
          <w:hyperlink w:anchor="_Toc428029654" w:history="1">
            <w:r w:rsidR="00A83CBC" w:rsidRPr="00A83CBC">
              <w:rPr>
                <w:rStyle w:val="Hyperlink"/>
                <w:rFonts w:ascii="Calibri" w:hAnsi="Calibri" w:cs="Calibri"/>
                <w:noProof/>
                <w:sz w:val="20"/>
                <w:szCs w:val="20"/>
              </w:rPr>
              <w:t>Acronyms</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_Toc428029654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3</w:t>
            </w:r>
            <w:r w:rsidR="00A83CBC" w:rsidRPr="00A83CBC">
              <w:rPr>
                <w:rFonts w:ascii="Calibri" w:hAnsi="Calibri" w:cs="Calibri"/>
                <w:noProof/>
                <w:webHidden/>
                <w:sz w:val="20"/>
                <w:szCs w:val="20"/>
              </w:rPr>
              <w:fldChar w:fldCharType="end"/>
            </w:r>
          </w:hyperlink>
        </w:p>
        <w:p w14:paraId="0F8F0AE3" w14:textId="77777777" w:rsidR="00A83CBC" w:rsidRPr="00A83CBC" w:rsidRDefault="009922DB">
          <w:pPr>
            <w:pStyle w:val="TOC1"/>
            <w:tabs>
              <w:tab w:val="right" w:leader="dot" w:pos="9350"/>
            </w:tabs>
            <w:rPr>
              <w:rFonts w:ascii="Calibri" w:eastAsiaTheme="minorEastAsia" w:hAnsi="Calibri" w:cs="Calibri"/>
              <w:noProof/>
              <w:sz w:val="20"/>
              <w:szCs w:val="20"/>
              <w:lang w:val="en-GB" w:eastAsia="en-GB"/>
            </w:rPr>
          </w:pPr>
          <w:hyperlink w:anchor="_Toc428029655" w:history="1">
            <w:r w:rsidR="00A83CBC" w:rsidRPr="00A83CBC">
              <w:rPr>
                <w:rStyle w:val="Hyperlink"/>
                <w:rFonts w:ascii="Calibri" w:hAnsi="Calibri" w:cs="Calibri"/>
                <w:noProof/>
                <w:sz w:val="20"/>
                <w:szCs w:val="20"/>
              </w:rPr>
              <w:t>Acknowledgements</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_Toc428029655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4</w:t>
            </w:r>
            <w:r w:rsidR="00A83CBC" w:rsidRPr="00A83CBC">
              <w:rPr>
                <w:rFonts w:ascii="Calibri" w:hAnsi="Calibri" w:cs="Calibri"/>
                <w:noProof/>
                <w:webHidden/>
                <w:sz w:val="20"/>
                <w:szCs w:val="20"/>
              </w:rPr>
              <w:fldChar w:fldCharType="end"/>
            </w:r>
          </w:hyperlink>
        </w:p>
        <w:p w14:paraId="7DA16806" w14:textId="77777777" w:rsidR="00A83CBC" w:rsidRPr="00A83CBC" w:rsidRDefault="009922DB">
          <w:pPr>
            <w:pStyle w:val="TOC1"/>
            <w:tabs>
              <w:tab w:val="right" w:leader="dot" w:pos="9350"/>
            </w:tabs>
            <w:rPr>
              <w:rFonts w:ascii="Calibri" w:eastAsiaTheme="minorEastAsia" w:hAnsi="Calibri" w:cs="Calibri"/>
              <w:noProof/>
              <w:sz w:val="20"/>
              <w:szCs w:val="20"/>
              <w:lang w:val="en-GB" w:eastAsia="en-GB"/>
            </w:rPr>
          </w:pPr>
          <w:hyperlink w:anchor="_Toc428029656" w:history="1">
            <w:r w:rsidR="00A83CBC" w:rsidRPr="00A83CBC">
              <w:rPr>
                <w:rStyle w:val="Hyperlink"/>
                <w:rFonts w:ascii="Calibri" w:hAnsi="Calibri" w:cs="Calibri"/>
                <w:noProof/>
                <w:sz w:val="20"/>
                <w:szCs w:val="20"/>
              </w:rPr>
              <w:t>Executive Summary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_Toc428029656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5</w:t>
            </w:r>
            <w:r w:rsidR="00A83CBC" w:rsidRPr="00A83CBC">
              <w:rPr>
                <w:rFonts w:ascii="Calibri" w:hAnsi="Calibri" w:cs="Calibri"/>
                <w:noProof/>
                <w:webHidden/>
                <w:sz w:val="20"/>
                <w:szCs w:val="20"/>
              </w:rPr>
              <w:fldChar w:fldCharType="end"/>
            </w:r>
          </w:hyperlink>
        </w:p>
        <w:p w14:paraId="3420ABE9"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57" w:history="1">
            <w:r w:rsidR="00A83CBC" w:rsidRPr="00A83CBC">
              <w:rPr>
                <w:rStyle w:val="Hyperlink"/>
                <w:rFonts w:ascii="Calibri" w:hAnsi="Calibri" w:cs="Calibri"/>
                <w:noProof/>
                <w:sz w:val="20"/>
                <w:szCs w:val="20"/>
              </w:rPr>
              <w:t>1.</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Introduction</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_Toc428029657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7</w:t>
            </w:r>
            <w:r w:rsidR="00A83CBC" w:rsidRPr="00A83CBC">
              <w:rPr>
                <w:rFonts w:ascii="Calibri" w:hAnsi="Calibri" w:cs="Calibri"/>
                <w:noProof/>
                <w:webHidden/>
                <w:sz w:val="20"/>
                <w:szCs w:val="20"/>
              </w:rPr>
              <w:fldChar w:fldCharType="end"/>
            </w:r>
          </w:hyperlink>
        </w:p>
        <w:p w14:paraId="646FDBB0"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58" w:history="1">
            <w:r w:rsidR="00A83CBC" w:rsidRPr="00A83CBC">
              <w:rPr>
                <w:rStyle w:val="Hyperlink"/>
                <w:rFonts w:ascii="Calibri" w:hAnsi="Calibri" w:cs="Calibri"/>
                <w:noProof/>
                <w:sz w:val="20"/>
                <w:szCs w:val="20"/>
              </w:rPr>
              <w:t>2.</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Methodology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_Toc428029658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7</w:t>
            </w:r>
            <w:r w:rsidR="00A83CBC" w:rsidRPr="00A83CBC">
              <w:rPr>
                <w:rFonts w:ascii="Calibri" w:hAnsi="Calibri" w:cs="Calibri"/>
                <w:noProof/>
                <w:webHidden/>
                <w:sz w:val="20"/>
                <w:szCs w:val="20"/>
              </w:rPr>
              <w:fldChar w:fldCharType="end"/>
            </w:r>
          </w:hyperlink>
        </w:p>
        <w:p w14:paraId="324BEB2B"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59" w:history="1">
            <w:r w:rsidR="00A83CBC" w:rsidRPr="00A83CBC">
              <w:rPr>
                <w:rStyle w:val="Hyperlink"/>
                <w:rFonts w:ascii="Calibri" w:hAnsi="Calibri" w:cs="Calibri"/>
                <w:noProof/>
                <w:sz w:val="20"/>
                <w:szCs w:val="20"/>
              </w:rPr>
              <w:t>3.</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Analytical Framework</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_Toc428029659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8</w:t>
            </w:r>
            <w:r w:rsidR="00A83CBC" w:rsidRPr="00A83CBC">
              <w:rPr>
                <w:rFonts w:ascii="Calibri" w:hAnsi="Calibri" w:cs="Calibri"/>
                <w:noProof/>
                <w:webHidden/>
                <w:sz w:val="20"/>
                <w:szCs w:val="20"/>
              </w:rPr>
              <w:fldChar w:fldCharType="end"/>
            </w:r>
          </w:hyperlink>
        </w:p>
        <w:p w14:paraId="2589B09B"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60" w:history="1">
            <w:r w:rsidR="00A83CBC" w:rsidRPr="00A83CBC">
              <w:rPr>
                <w:rStyle w:val="Hyperlink"/>
                <w:rFonts w:ascii="Calibri" w:hAnsi="Calibri" w:cs="Calibri"/>
                <w:noProof/>
                <w:sz w:val="20"/>
                <w:szCs w:val="20"/>
                <w:lang w:val="en-GB" w:eastAsia="en-GB"/>
              </w:rPr>
              <w:t>4.</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lang w:val="en-GB" w:eastAsia="en-GB"/>
              </w:rPr>
              <w:t>Findings</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_Toc428029660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9</w:t>
            </w:r>
            <w:r w:rsidR="00A83CBC" w:rsidRPr="00A83CBC">
              <w:rPr>
                <w:rFonts w:ascii="Calibri" w:hAnsi="Calibri" w:cs="Calibri"/>
                <w:noProof/>
                <w:webHidden/>
                <w:sz w:val="20"/>
                <w:szCs w:val="20"/>
              </w:rPr>
              <w:fldChar w:fldCharType="end"/>
            </w:r>
          </w:hyperlink>
        </w:p>
        <w:p w14:paraId="2E48F7F0" w14:textId="77777777" w:rsidR="00A83CBC" w:rsidRPr="00A83CBC" w:rsidRDefault="009922DB">
          <w:pPr>
            <w:pStyle w:val="TOC2"/>
            <w:tabs>
              <w:tab w:val="right" w:leader="dot" w:pos="9350"/>
            </w:tabs>
            <w:rPr>
              <w:rFonts w:ascii="Calibri" w:eastAsiaTheme="minorEastAsia" w:hAnsi="Calibri" w:cs="Calibri"/>
              <w:noProof/>
              <w:sz w:val="20"/>
              <w:szCs w:val="20"/>
              <w:lang w:val="en-GB" w:eastAsia="en-GB"/>
            </w:rPr>
          </w:pPr>
          <w:hyperlink w:anchor="_Toc428029661" w:history="1">
            <w:r w:rsidR="00A83CBC" w:rsidRPr="00A83CBC">
              <w:rPr>
                <w:rStyle w:val="Hyperlink"/>
                <w:rFonts w:ascii="Calibri" w:hAnsi="Calibri" w:cs="Calibri"/>
                <w:noProof/>
                <w:sz w:val="20"/>
                <w:szCs w:val="20"/>
                <w:lang w:val="en-GB" w:eastAsia="en-GB"/>
              </w:rPr>
              <w:t>4.1 Accessibility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_Toc428029661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9</w:t>
            </w:r>
            <w:r w:rsidR="00A83CBC" w:rsidRPr="00A83CBC">
              <w:rPr>
                <w:rFonts w:ascii="Calibri" w:hAnsi="Calibri" w:cs="Calibri"/>
                <w:noProof/>
                <w:webHidden/>
                <w:sz w:val="20"/>
                <w:szCs w:val="20"/>
              </w:rPr>
              <w:fldChar w:fldCharType="end"/>
            </w:r>
          </w:hyperlink>
        </w:p>
        <w:p w14:paraId="6292EF4A" w14:textId="77777777" w:rsidR="00A83CBC" w:rsidRPr="00A83CBC" w:rsidRDefault="009922DB">
          <w:pPr>
            <w:pStyle w:val="TOC2"/>
            <w:tabs>
              <w:tab w:val="right" w:leader="dot" w:pos="9350"/>
            </w:tabs>
            <w:rPr>
              <w:rFonts w:ascii="Calibri" w:eastAsiaTheme="minorEastAsia" w:hAnsi="Calibri" w:cs="Calibri"/>
              <w:noProof/>
              <w:sz w:val="20"/>
              <w:szCs w:val="20"/>
              <w:lang w:val="en-GB" w:eastAsia="en-GB"/>
            </w:rPr>
          </w:pPr>
          <w:hyperlink w:anchor="_Toc428029664" w:history="1">
            <w:r w:rsidR="00A83CBC" w:rsidRPr="00A83CBC">
              <w:rPr>
                <w:rStyle w:val="Hyperlink"/>
                <w:rFonts w:ascii="Calibri" w:hAnsi="Calibri" w:cs="Calibri"/>
                <w:noProof/>
                <w:sz w:val="20"/>
                <w:szCs w:val="20"/>
                <w:lang w:val="en-GB" w:eastAsia="en-GB"/>
              </w:rPr>
              <w:t>4.2 Availability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_Toc428029664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10</w:t>
            </w:r>
            <w:r w:rsidR="00A83CBC" w:rsidRPr="00A83CBC">
              <w:rPr>
                <w:rFonts w:ascii="Calibri" w:hAnsi="Calibri" w:cs="Calibri"/>
                <w:noProof/>
                <w:webHidden/>
                <w:sz w:val="20"/>
                <w:szCs w:val="20"/>
              </w:rPr>
              <w:fldChar w:fldCharType="end"/>
            </w:r>
          </w:hyperlink>
        </w:p>
        <w:p w14:paraId="15DAF6C8" w14:textId="77777777" w:rsidR="00A83CBC" w:rsidRPr="00A83CBC" w:rsidRDefault="009922DB">
          <w:pPr>
            <w:pStyle w:val="TOC2"/>
            <w:tabs>
              <w:tab w:val="right" w:leader="dot" w:pos="9350"/>
            </w:tabs>
            <w:rPr>
              <w:rFonts w:ascii="Calibri" w:eastAsiaTheme="minorEastAsia" w:hAnsi="Calibri" w:cs="Calibri"/>
              <w:noProof/>
              <w:sz w:val="20"/>
              <w:szCs w:val="20"/>
              <w:lang w:val="en-GB" w:eastAsia="en-GB"/>
            </w:rPr>
          </w:pPr>
          <w:hyperlink w:anchor="_Toc428029667" w:history="1">
            <w:r w:rsidR="00A83CBC" w:rsidRPr="00A83CBC">
              <w:rPr>
                <w:rStyle w:val="Hyperlink"/>
                <w:rFonts w:ascii="Calibri" w:hAnsi="Calibri" w:cs="Calibri"/>
                <w:noProof/>
                <w:sz w:val="20"/>
                <w:szCs w:val="20"/>
                <w:lang w:val="en-GB" w:eastAsia="en-GB"/>
              </w:rPr>
              <w:t>4.3 Affordability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_Toc428029667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13</w:t>
            </w:r>
            <w:r w:rsidR="00A83CBC" w:rsidRPr="00A83CBC">
              <w:rPr>
                <w:rFonts w:ascii="Calibri" w:hAnsi="Calibri" w:cs="Calibri"/>
                <w:noProof/>
                <w:webHidden/>
                <w:sz w:val="20"/>
                <w:szCs w:val="20"/>
              </w:rPr>
              <w:fldChar w:fldCharType="end"/>
            </w:r>
          </w:hyperlink>
        </w:p>
        <w:p w14:paraId="0D6AB9BE" w14:textId="77777777" w:rsidR="00A83CBC" w:rsidRPr="00A83CBC" w:rsidRDefault="009922DB">
          <w:pPr>
            <w:pStyle w:val="TOC2"/>
            <w:tabs>
              <w:tab w:val="right" w:leader="dot" w:pos="9350"/>
            </w:tabs>
            <w:rPr>
              <w:rFonts w:ascii="Calibri" w:eastAsiaTheme="minorEastAsia" w:hAnsi="Calibri" w:cs="Calibri"/>
              <w:noProof/>
              <w:sz w:val="20"/>
              <w:szCs w:val="20"/>
              <w:lang w:val="en-GB" w:eastAsia="en-GB"/>
            </w:rPr>
          </w:pPr>
          <w:hyperlink w:anchor="_Toc428029670" w:history="1">
            <w:r w:rsidR="00A83CBC" w:rsidRPr="00A83CBC">
              <w:rPr>
                <w:rStyle w:val="Hyperlink"/>
                <w:rFonts w:ascii="Calibri" w:hAnsi="Calibri" w:cs="Calibri"/>
                <w:noProof/>
                <w:sz w:val="20"/>
                <w:szCs w:val="20"/>
                <w:lang w:val="en-GB" w:eastAsia="en-GB"/>
              </w:rPr>
              <w:t>4.4 Acceptability</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_Toc428029670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14</w:t>
            </w:r>
            <w:r w:rsidR="00A83CBC" w:rsidRPr="00A83CBC">
              <w:rPr>
                <w:rFonts w:ascii="Calibri" w:hAnsi="Calibri" w:cs="Calibri"/>
                <w:noProof/>
                <w:webHidden/>
                <w:sz w:val="20"/>
                <w:szCs w:val="20"/>
              </w:rPr>
              <w:fldChar w:fldCharType="end"/>
            </w:r>
          </w:hyperlink>
        </w:p>
        <w:p w14:paraId="2DDABC1C"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73" w:history="1">
            <w:r w:rsidR="00A83CBC" w:rsidRPr="00A83CBC">
              <w:rPr>
                <w:rStyle w:val="Hyperlink"/>
                <w:rFonts w:ascii="Calibri" w:hAnsi="Calibri" w:cs="Calibri"/>
                <w:noProof/>
                <w:sz w:val="20"/>
                <w:szCs w:val="20"/>
              </w:rPr>
              <w:t>5.</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Discussion</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_Toc428029673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15</w:t>
            </w:r>
            <w:r w:rsidR="00A83CBC" w:rsidRPr="00A83CBC">
              <w:rPr>
                <w:rFonts w:ascii="Calibri" w:hAnsi="Calibri" w:cs="Calibri"/>
                <w:noProof/>
                <w:webHidden/>
                <w:sz w:val="20"/>
                <w:szCs w:val="20"/>
              </w:rPr>
              <w:fldChar w:fldCharType="end"/>
            </w:r>
          </w:hyperlink>
        </w:p>
        <w:p w14:paraId="3B6F5B02" w14:textId="77777777" w:rsidR="00A83CBC" w:rsidRPr="00A83CBC" w:rsidRDefault="009922DB">
          <w:pPr>
            <w:pStyle w:val="TOC1"/>
            <w:tabs>
              <w:tab w:val="left" w:pos="440"/>
              <w:tab w:val="right" w:leader="dot" w:pos="9350"/>
            </w:tabs>
            <w:rPr>
              <w:rFonts w:ascii="Calibri" w:eastAsiaTheme="minorEastAsia" w:hAnsi="Calibri" w:cs="Calibri"/>
              <w:noProof/>
              <w:sz w:val="20"/>
              <w:szCs w:val="20"/>
              <w:lang w:val="en-GB" w:eastAsia="en-GB"/>
            </w:rPr>
          </w:pPr>
          <w:hyperlink w:anchor="_Toc428029674" w:history="1">
            <w:r w:rsidR="00A83CBC" w:rsidRPr="00A83CBC">
              <w:rPr>
                <w:rStyle w:val="Hyperlink"/>
                <w:rFonts w:ascii="Calibri" w:hAnsi="Calibri" w:cs="Calibri"/>
                <w:noProof/>
                <w:sz w:val="20"/>
                <w:szCs w:val="20"/>
              </w:rPr>
              <w:t>6.</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Recommendations</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_Toc428029674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15</w:t>
            </w:r>
            <w:r w:rsidR="00A83CBC" w:rsidRPr="00A83CBC">
              <w:rPr>
                <w:rFonts w:ascii="Calibri" w:hAnsi="Calibri" w:cs="Calibri"/>
                <w:noProof/>
                <w:webHidden/>
                <w:sz w:val="20"/>
                <w:szCs w:val="20"/>
              </w:rPr>
              <w:fldChar w:fldCharType="end"/>
            </w:r>
          </w:hyperlink>
        </w:p>
        <w:p w14:paraId="3A033797" w14:textId="77777777" w:rsidR="00A83CBC" w:rsidRDefault="009922DB">
          <w:pPr>
            <w:pStyle w:val="TOC1"/>
            <w:tabs>
              <w:tab w:val="left" w:pos="440"/>
              <w:tab w:val="right" w:leader="dot" w:pos="9350"/>
            </w:tabs>
            <w:rPr>
              <w:rFonts w:eastAsiaTheme="minorEastAsia"/>
              <w:noProof/>
              <w:lang w:val="en-GB" w:eastAsia="en-GB"/>
            </w:rPr>
          </w:pPr>
          <w:hyperlink w:anchor="_Toc428029675" w:history="1">
            <w:r w:rsidR="00A83CBC" w:rsidRPr="00A83CBC">
              <w:rPr>
                <w:rStyle w:val="Hyperlink"/>
                <w:rFonts w:ascii="Calibri" w:hAnsi="Calibri" w:cs="Calibri"/>
                <w:noProof/>
                <w:sz w:val="20"/>
                <w:szCs w:val="20"/>
              </w:rPr>
              <w:t>7.</w:t>
            </w:r>
            <w:r w:rsidR="00A83CBC" w:rsidRPr="00A83CBC">
              <w:rPr>
                <w:rFonts w:ascii="Calibri" w:eastAsiaTheme="minorEastAsia" w:hAnsi="Calibri" w:cs="Calibri"/>
                <w:noProof/>
                <w:sz w:val="20"/>
                <w:szCs w:val="20"/>
                <w:lang w:val="en-GB" w:eastAsia="en-GB"/>
              </w:rPr>
              <w:tab/>
            </w:r>
            <w:r w:rsidR="00A83CBC" w:rsidRPr="00A83CBC">
              <w:rPr>
                <w:rStyle w:val="Hyperlink"/>
                <w:rFonts w:ascii="Calibri" w:hAnsi="Calibri" w:cs="Calibri"/>
                <w:noProof/>
                <w:sz w:val="20"/>
                <w:szCs w:val="20"/>
              </w:rPr>
              <w:t>References</w:t>
            </w:r>
            <w:r w:rsidR="00A83CBC" w:rsidRPr="00A83CBC">
              <w:rPr>
                <w:rFonts w:ascii="Calibri" w:hAnsi="Calibri" w:cs="Calibri"/>
                <w:noProof/>
                <w:webHidden/>
                <w:sz w:val="20"/>
                <w:szCs w:val="20"/>
              </w:rPr>
              <w:tab/>
            </w:r>
            <w:r w:rsidR="00A83CBC" w:rsidRPr="00A83CBC">
              <w:rPr>
                <w:rFonts w:ascii="Calibri" w:hAnsi="Calibri" w:cs="Calibri"/>
                <w:noProof/>
                <w:webHidden/>
                <w:sz w:val="20"/>
                <w:szCs w:val="20"/>
              </w:rPr>
              <w:fldChar w:fldCharType="begin"/>
            </w:r>
            <w:r w:rsidR="00A83CBC" w:rsidRPr="00A83CBC">
              <w:rPr>
                <w:rFonts w:ascii="Calibri" w:hAnsi="Calibri" w:cs="Calibri"/>
                <w:noProof/>
                <w:webHidden/>
                <w:sz w:val="20"/>
                <w:szCs w:val="20"/>
              </w:rPr>
              <w:instrText xml:space="preserve"> PAGEREF _Toc428029675 \h </w:instrText>
            </w:r>
            <w:r w:rsidR="00A83CBC" w:rsidRPr="00A83CBC">
              <w:rPr>
                <w:rFonts w:ascii="Calibri" w:hAnsi="Calibri" w:cs="Calibri"/>
                <w:noProof/>
                <w:webHidden/>
                <w:sz w:val="20"/>
                <w:szCs w:val="20"/>
              </w:rPr>
            </w:r>
            <w:r w:rsidR="00A83CBC" w:rsidRPr="00A83CBC">
              <w:rPr>
                <w:rFonts w:ascii="Calibri" w:hAnsi="Calibri" w:cs="Calibri"/>
                <w:noProof/>
                <w:webHidden/>
                <w:sz w:val="20"/>
                <w:szCs w:val="20"/>
              </w:rPr>
              <w:fldChar w:fldCharType="separate"/>
            </w:r>
            <w:r w:rsidR="00A83CBC" w:rsidRPr="00A83CBC">
              <w:rPr>
                <w:rFonts w:ascii="Calibri" w:hAnsi="Calibri" w:cs="Calibri"/>
                <w:noProof/>
                <w:webHidden/>
                <w:sz w:val="20"/>
                <w:szCs w:val="20"/>
              </w:rPr>
              <w:t>18</w:t>
            </w:r>
            <w:r w:rsidR="00A83CBC" w:rsidRPr="00A83CBC">
              <w:rPr>
                <w:rFonts w:ascii="Calibri" w:hAnsi="Calibri" w:cs="Calibri"/>
                <w:noProof/>
                <w:webHidden/>
                <w:sz w:val="20"/>
                <w:szCs w:val="20"/>
              </w:rPr>
              <w:fldChar w:fldCharType="end"/>
            </w:r>
          </w:hyperlink>
        </w:p>
        <w:p w14:paraId="4C033228" w14:textId="77777777" w:rsidR="00871BD0" w:rsidRDefault="00871BD0">
          <w:r w:rsidRPr="00A54E22">
            <w:rPr>
              <w:rFonts w:cstheme="minorHAnsi"/>
              <w:bCs/>
              <w:noProof/>
              <w:sz w:val="20"/>
              <w:szCs w:val="20"/>
            </w:rPr>
            <w:fldChar w:fldCharType="end"/>
          </w:r>
        </w:p>
      </w:sdtContent>
    </w:sdt>
    <w:p w14:paraId="42261A67" w14:textId="546C3963" w:rsidR="00E66FE4" w:rsidRPr="0022340B" w:rsidRDefault="00871BD0" w:rsidP="0022340B">
      <w:pPr>
        <w:rPr>
          <w:rFonts w:asciiTheme="majorHAnsi" w:eastAsiaTheme="majorEastAsia" w:hAnsiTheme="majorHAnsi" w:cstheme="majorBidi"/>
          <w:b/>
          <w:color w:val="2E74B5" w:themeColor="accent1" w:themeShade="BF"/>
          <w:sz w:val="32"/>
          <w:szCs w:val="32"/>
        </w:rPr>
      </w:pPr>
      <w:r>
        <w:rPr>
          <w:b/>
        </w:rPr>
        <w:br w:type="page"/>
      </w:r>
      <w:bookmarkStart w:id="0" w:name="_GoBack"/>
      <w:bookmarkEnd w:id="0"/>
    </w:p>
    <w:p w14:paraId="15D463A9" w14:textId="754A6588" w:rsidR="00AD62F0" w:rsidRDefault="00AD62F0" w:rsidP="00AD62F0">
      <w:pPr>
        <w:pStyle w:val="Heading1"/>
        <w:rPr>
          <w:b/>
        </w:rPr>
      </w:pPr>
      <w:bookmarkStart w:id="1" w:name="_Toc428029654"/>
      <w:r w:rsidRPr="00EC7575">
        <w:rPr>
          <w:b/>
        </w:rPr>
        <w:lastRenderedPageBreak/>
        <w:t>Acronyms</w:t>
      </w:r>
      <w:bookmarkEnd w:id="1"/>
    </w:p>
    <w:p w14:paraId="100006A4" w14:textId="77777777" w:rsidR="00A54E22" w:rsidRDefault="00A54E22" w:rsidP="00414ACC">
      <w:pPr>
        <w:spacing w:before="120"/>
        <w:rPr>
          <w:sz w:val="20"/>
          <w:szCs w:val="20"/>
        </w:rPr>
      </w:pPr>
      <w:r>
        <w:rPr>
          <w:sz w:val="20"/>
          <w:szCs w:val="20"/>
        </w:rPr>
        <w:t>ANC</w:t>
      </w:r>
      <w:r>
        <w:rPr>
          <w:sz w:val="20"/>
          <w:szCs w:val="20"/>
        </w:rPr>
        <w:tab/>
      </w:r>
      <w:r>
        <w:rPr>
          <w:sz w:val="20"/>
          <w:szCs w:val="20"/>
        </w:rPr>
        <w:tab/>
      </w:r>
      <w:r>
        <w:rPr>
          <w:sz w:val="20"/>
          <w:szCs w:val="20"/>
        </w:rPr>
        <w:tab/>
      </w:r>
      <w:r>
        <w:rPr>
          <w:sz w:val="20"/>
          <w:szCs w:val="20"/>
        </w:rPr>
        <w:tab/>
      </w:r>
      <w:r>
        <w:rPr>
          <w:sz w:val="20"/>
          <w:szCs w:val="20"/>
        </w:rPr>
        <w:tab/>
        <w:t>Antenatal care</w:t>
      </w:r>
    </w:p>
    <w:p w14:paraId="6C0B768D" w14:textId="77777777" w:rsidR="00A54E22" w:rsidRDefault="00A54E22" w:rsidP="00414ACC">
      <w:pPr>
        <w:spacing w:before="120"/>
        <w:rPr>
          <w:sz w:val="20"/>
          <w:szCs w:val="20"/>
        </w:rPr>
      </w:pPr>
      <w:r>
        <w:rPr>
          <w:sz w:val="20"/>
          <w:szCs w:val="20"/>
        </w:rPr>
        <w:t>CCC</w:t>
      </w:r>
      <w:r>
        <w:rPr>
          <w:sz w:val="20"/>
          <w:szCs w:val="20"/>
        </w:rPr>
        <w:tab/>
      </w:r>
      <w:r>
        <w:rPr>
          <w:sz w:val="20"/>
          <w:szCs w:val="20"/>
        </w:rPr>
        <w:tab/>
      </w:r>
      <w:r>
        <w:rPr>
          <w:sz w:val="20"/>
          <w:szCs w:val="20"/>
        </w:rPr>
        <w:tab/>
      </w:r>
      <w:r>
        <w:rPr>
          <w:sz w:val="20"/>
          <w:szCs w:val="20"/>
        </w:rPr>
        <w:tab/>
      </w:r>
      <w:r>
        <w:rPr>
          <w:sz w:val="20"/>
          <w:szCs w:val="20"/>
        </w:rPr>
        <w:tab/>
        <w:t>Comprehensive Care Centre</w:t>
      </w:r>
    </w:p>
    <w:p w14:paraId="0ECFE92D" w14:textId="77777777" w:rsidR="00871BD0" w:rsidRDefault="00871BD0" w:rsidP="00414ACC">
      <w:pPr>
        <w:spacing w:before="120"/>
        <w:rPr>
          <w:sz w:val="20"/>
          <w:szCs w:val="20"/>
        </w:rPr>
      </w:pPr>
      <w:r>
        <w:rPr>
          <w:sz w:val="20"/>
          <w:szCs w:val="20"/>
        </w:rPr>
        <w:t>CHC</w:t>
      </w:r>
      <w:r>
        <w:rPr>
          <w:sz w:val="20"/>
          <w:szCs w:val="20"/>
        </w:rPr>
        <w:tab/>
      </w:r>
      <w:r>
        <w:rPr>
          <w:sz w:val="20"/>
          <w:szCs w:val="20"/>
        </w:rPr>
        <w:tab/>
      </w:r>
      <w:r>
        <w:rPr>
          <w:sz w:val="20"/>
          <w:szCs w:val="20"/>
        </w:rPr>
        <w:tab/>
      </w:r>
      <w:r>
        <w:rPr>
          <w:sz w:val="20"/>
          <w:szCs w:val="20"/>
        </w:rPr>
        <w:tab/>
      </w:r>
      <w:r>
        <w:rPr>
          <w:sz w:val="20"/>
          <w:szCs w:val="20"/>
        </w:rPr>
        <w:tab/>
        <w:t>Community Health Committee</w:t>
      </w:r>
    </w:p>
    <w:p w14:paraId="593110D4" w14:textId="77777777" w:rsidR="00871BD0" w:rsidRDefault="00871BD0" w:rsidP="00414ACC">
      <w:pPr>
        <w:spacing w:before="120"/>
        <w:rPr>
          <w:sz w:val="20"/>
          <w:szCs w:val="20"/>
        </w:rPr>
      </w:pPr>
      <w:r>
        <w:rPr>
          <w:sz w:val="20"/>
          <w:szCs w:val="20"/>
        </w:rPr>
        <w:t>CHEW</w:t>
      </w:r>
      <w:r>
        <w:rPr>
          <w:sz w:val="20"/>
          <w:szCs w:val="20"/>
        </w:rPr>
        <w:tab/>
      </w:r>
      <w:r>
        <w:rPr>
          <w:sz w:val="20"/>
          <w:szCs w:val="20"/>
        </w:rPr>
        <w:tab/>
      </w:r>
      <w:r>
        <w:rPr>
          <w:sz w:val="20"/>
          <w:szCs w:val="20"/>
        </w:rPr>
        <w:tab/>
      </w:r>
      <w:r>
        <w:rPr>
          <w:sz w:val="20"/>
          <w:szCs w:val="20"/>
        </w:rPr>
        <w:tab/>
      </w:r>
      <w:r>
        <w:rPr>
          <w:sz w:val="20"/>
          <w:szCs w:val="20"/>
        </w:rPr>
        <w:tab/>
        <w:t>Community Health Extension Worker</w:t>
      </w:r>
    </w:p>
    <w:p w14:paraId="4A5F78AC" w14:textId="77777777" w:rsidR="00414ACC" w:rsidRDefault="00414ACC" w:rsidP="00414ACC">
      <w:pPr>
        <w:spacing w:before="120"/>
        <w:rPr>
          <w:sz w:val="20"/>
          <w:szCs w:val="20"/>
        </w:rPr>
      </w:pPr>
      <w:r>
        <w:rPr>
          <w:sz w:val="20"/>
          <w:szCs w:val="20"/>
        </w:rPr>
        <w:t>CHMT</w:t>
      </w:r>
      <w:r>
        <w:rPr>
          <w:sz w:val="20"/>
          <w:szCs w:val="20"/>
        </w:rPr>
        <w:tab/>
      </w:r>
      <w:r>
        <w:rPr>
          <w:sz w:val="20"/>
          <w:szCs w:val="20"/>
        </w:rPr>
        <w:tab/>
      </w:r>
      <w:r>
        <w:rPr>
          <w:sz w:val="20"/>
          <w:szCs w:val="20"/>
        </w:rPr>
        <w:tab/>
      </w:r>
      <w:r>
        <w:rPr>
          <w:sz w:val="20"/>
          <w:szCs w:val="20"/>
        </w:rPr>
        <w:tab/>
      </w:r>
      <w:r>
        <w:rPr>
          <w:sz w:val="20"/>
          <w:szCs w:val="20"/>
        </w:rPr>
        <w:tab/>
        <w:t>County Health Management Team</w:t>
      </w:r>
    </w:p>
    <w:p w14:paraId="4BA5284A" w14:textId="77777777" w:rsidR="00871BD0" w:rsidRDefault="00871BD0" w:rsidP="00414ACC">
      <w:pPr>
        <w:spacing w:before="120"/>
        <w:rPr>
          <w:sz w:val="20"/>
          <w:szCs w:val="20"/>
        </w:rPr>
      </w:pPr>
      <w:r>
        <w:rPr>
          <w:sz w:val="20"/>
          <w:szCs w:val="20"/>
        </w:rPr>
        <w:t>CHV</w:t>
      </w:r>
      <w:r>
        <w:rPr>
          <w:sz w:val="20"/>
          <w:szCs w:val="20"/>
        </w:rPr>
        <w:tab/>
      </w:r>
      <w:r>
        <w:rPr>
          <w:sz w:val="20"/>
          <w:szCs w:val="20"/>
        </w:rPr>
        <w:tab/>
      </w:r>
      <w:r>
        <w:rPr>
          <w:sz w:val="20"/>
          <w:szCs w:val="20"/>
        </w:rPr>
        <w:tab/>
      </w:r>
      <w:r>
        <w:rPr>
          <w:sz w:val="20"/>
          <w:szCs w:val="20"/>
        </w:rPr>
        <w:tab/>
      </w:r>
      <w:r>
        <w:rPr>
          <w:sz w:val="20"/>
          <w:szCs w:val="20"/>
        </w:rPr>
        <w:tab/>
        <w:t>Community Health Volunteer</w:t>
      </w:r>
    </w:p>
    <w:p w14:paraId="1A077581" w14:textId="77777777" w:rsidR="00871BD0" w:rsidRDefault="00871BD0" w:rsidP="00414ACC">
      <w:pPr>
        <w:spacing w:before="120"/>
        <w:rPr>
          <w:sz w:val="20"/>
          <w:szCs w:val="20"/>
        </w:rPr>
      </w:pPr>
      <w:r>
        <w:rPr>
          <w:sz w:val="20"/>
          <w:szCs w:val="20"/>
        </w:rPr>
        <w:t>CU</w:t>
      </w:r>
      <w:r>
        <w:rPr>
          <w:sz w:val="20"/>
          <w:szCs w:val="20"/>
        </w:rPr>
        <w:tab/>
      </w:r>
      <w:r>
        <w:rPr>
          <w:sz w:val="20"/>
          <w:szCs w:val="20"/>
        </w:rPr>
        <w:tab/>
      </w:r>
      <w:r>
        <w:rPr>
          <w:sz w:val="20"/>
          <w:szCs w:val="20"/>
        </w:rPr>
        <w:tab/>
      </w:r>
      <w:r>
        <w:rPr>
          <w:sz w:val="20"/>
          <w:szCs w:val="20"/>
        </w:rPr>
        <w:tab/>
      </w:r>
      <w:r>
        <w:rPr>
          <w:sz w:val="20"/>
          <w:szCs w:val="20"/>
        </w:rPr>
        <w:tab/>
        <w:t>Community unit</w:t>
      </w:r>
    </w:p>
    <w:p w14:paraId="2B338871" w14:textId="77777777" w:rsidR="00A54E22" w:rsidRDefault="00A54E22" w:rsidP="00414ACC">
      <w:pPr>
        <w:spacing w:before="120"/>
        <w:rPr>
          <w:sz w:val="20"/>
          <w:szCs w:val="20"/>
        </w:rPr>
      </w:pPr>
      <w:r>
        <w:rPr>
          <w:sz w:val="20"/>
          <w:szCs w:val="20"/>
        </w:rPr>
        <w:t>FBO</w:t>
      </w:r>
      <w:r>
        <w:rPr>
          <w:sz w:val="20"/>
          <w:szCs w:val="20"/>
        </w:rPr>
        <w:tab/>
      </w:r>
      <w:r>
        <w:rPr>
          <w:sz w:val="20"/>
          <w:szCs w:val="20"/>
        </w:rPr>
        <w:tab/>
      </w:r>
      <w:r>
        <w:rPr>
          <w:sz w:val="20"/>
          <w:szCs w:val="20"/>
        </w:rPr>
        <w:tab/>
      </w:r>
      <w:r>
        <w:rPr>
          <w:sz w:val="20"/>
          <w:szCs w:val="20"/>
        </w:rPr>
        <w:tab/>
      </w:r>
      <w:r>
        <w:rPr>
          <w:sz w:val="20"/>
          <w:szCs w:val="20"/>
        </w:rPr>
        <w:tab/>
        <w:t>Faith-based organisation</w:t>
      </w:r>
    </w:p>
    <w:p w14:paraId="730621D4" w14:textId="77777777" w:rsidR="00414ACC" w:rsidRDefault="00414ACC" w:rsidP="00414ACC">
      <w:pPr>
        <w:spacing w:before="120"/>
        <w:rPr>
          <w:sz w:val="20"/>
          <w:szCs w:val="20"/>
        </w:rPr>
      </w:pPr>
      <w:r>
        <w:rPr>
          <w:sz w:val="20"/>
          <w:szCs w:val="20"/>
        </w:rPr>
        <w:t>GMP</w:t>
      </w:r>
      <w:r>
        <w:rPr>
          <w:sz w:val="20"/>
          <w:szCs w:val="20"/>
        </w:rPr>
        <w:tab/>
      </w:r>
      <w:r>
        <w:rPr>
          <w:sz w:val="20"/>
          <w:szCs w:val="20"/>
        </w:rPr>
        <w:tab/>
      </w:r>
      <w:r>
        <w:rPr>
          <w:sz w:val="20"/>
          <w:szCs w:val="20"/>
        </w:rPr>
        <w:tab/>
      </w:r>
      <w:r>
        <w:rPr>
          <w:sz w:val="20"/>
          <w:szCs w:val="20"/>
        </w:rPr>
        <w:tab/>
      </w:r>
      <w:r>
        <w:rPr>
          <w:sz w:val="20"/>
          <w:szCs w:val="20"/>
        </w:rPr>
        <w:tab/>
      </w:r>
      <w:r w:rsidRPr="00414ACC">
        <w:rPr>
          <w:sz w:val="20"/>
          <w:szCs w:val="20"/>
        </w:rPr>
        <w:t>Growth monitoring promotion</w:t>
      </w:r>
    </w:p>
    <w:p w14:paraId="4D4CA67E" w14:textId="77777777" w:rsidR="00A54E22" w:rsidRDefault="00A54E22" w:rsidP="00414ACC">
      <w:pPr>
        <w:spacing w:before="120"/>
        <w:rPr>
          <w:sz w:val="20"/>
          <w:szCs w:val="20"/>
        </w:rPr>
      </w:pPr>
      <w:r>
        <w:rPr>
          <w:sz w:val="20"/>
          <w:szCs w:val="20"/>
        </w:rPr>
        <w:t>HINI</w:t>
      </w:r>
      <w:r>
        <w:rPr>
          <w:sz w:val="20"/>
          <w:szCs w:val="20"/>
        </w:rPr>
        <w:tab/>
      </w:r>
      <w:r>
        <w:rPr>
          <w:sz w:val="20"/>
          <w:szCs w:val="20"/>
        </w:rPr>
        <w:tab/>
      </w:r>
      <w:r>
        <w:rPr>
          <w:sz w:val="20"/>
          <w:szCs w:val="20"/>
        </w:rPr>
        <w:tab/>
      </w:r>
      <w:r>
        <w:rPr>
          <w:sz w:val="20"/>
          <w:szCs w:val="20"/>
        </w:rPr>
        <w:tab/>
      </w:r>
      <w:r>
        <w:rPr>
          <w:sz w:val="20"/>
          <w:szCs w:val="20"/>
        </w:rPr>
        <w:tab/>
        <w:t>High impact nutrition interventions</w:t>
      </w:r>
    </w:p>
    <w:p w14:paraId="109C1FF2" w14:textId="77777777" w:rsidR="00AA1643" w:rsidRDefault="00AA1643" w:rsidP="00414ACC">
      <w:pPr>
        <w:spacing w:before="120"/>
        <w:rPr>
          <w:sz w:val="20"/>
          <w:szCs w:val="20"/>
        </w:rPr>
      </w:pPr>
      <w:r>
        <w:rPr>
          <w:sz w:val="20"/>
          <w:szCs w:val="20"/>
        </w:rPr>
        <w:t>IMAM</w:t>
      </w:r>
      <w:r>
        <w:rPr>
          <w:sz w:val="20"/>
          <w:szCs w:val="20"/>
        </w:rPr>
        <w:tab/>
      </w:r>
      <w:r>
        <w:rPr>
          <w:sz w:val="20"/>
          <w:szCs w:val="20"/>
        </w:rPr>
        <w:tab/>
      </w:r>
      <w:r>
        <w:rPr>
          <w:sz w:val="20"/>
          <w:szCs w:val="20"/>
        </w:rPr>
        <w:tab/>
      </w:r>
      <w:r>
        <w:rPr>
          <w:sz w:val="20"/>
          <w:szCs w:val="20"/>
        </w:rPr>
        <w:tab/>
      </w:r>
      <w:r>
        <w:rPr>
          <w:sz w:val="20"/>
          <w:szCs w:val="20"/>
        </w:rPr>
        <w:tab/>
        <w:t>Integrated management of acute malnutrition</w:t>
      </w:r>
    </w:p>
    <w:p w14:paraId="5082372B" w14:textId="77777777" w:rsidR="00A54E22" w:rsidRDefault="00A54E22" w:rsidP="00414ACC">
      <w:pPr>
        <w:spacing w:before="120"/>
        <w:rPr>
          <w:sz w:val="20"/>
          <w:szCs w:val="20"/>
        </w:rPr>
      </w:pPr>
      <w:r>
        <w:rPr>
          <w:sz w:val="20"/>
          <w:szCs w:val="20"/>
        </w:rPr>
        <w:t>IYCF</w:t>
      </w:r>
      <w:r>
        <w:rPr>
          <w:sz w:val="20"/>
          <w:szCs w:val="20"/>
        </w:rPr>
        <w:tab/>
      </w:r>
      <w:r>
        <w:rPr>
          <w:sz w:val="20"/>
          <w:szCs w:val="20"/>
        </w:rPr>
        <w:tab/>
      </w:r>
      <w:r>
        <w:rPr>
          <w:sz w:val="20"/>
          <w:szCs w:val="20"/>
        </w:rPr>
        <w:tab/>
      </w:r>
      <w:r>
        <w:rPr>
          <w:sz w:val="20"/>
          <w:szCs w:val="20"/>
        </w:rPr>
        <w:tab/>
      </w:r>
      <w:r>
        <w:rPr>
          <w:sz w:val="20"/>
          <w:szCs w:val="20"/>
        </w:rPr>
        <w:tab/>
        <w:t>Infant and young child feeding</w:t>
      </w:r>
    </w:p>
    <w:p w14:paraId="2E8B4590" w14:textId="77777777" w:rsidR="00A54E22" w:rsidRDefault="00A54E22" w:rsidP="00414ACC">
      <w:pPr>
        <w:spacing w:before="120"/>
        <w:rPr>
          <w:sz w:val="20"/>
          <w:szCs w:val="20"/>
        </w:rPr>
      </w:pPr>
      <w:r>
        <w:rPr>
          <w:sz w:val="20"/>
          <w:szCs w:val="20"/>
        </w:rPr>
        <w:t>MAM</w:t>
      </w:r>
      <w:r>
        <w:rPr>
          <w:sz w:val="20"/>
          <w:szCs w:val="20"/>
        </w:rPr>
        <w:tab/>
      </w:r>
      <w:r>
        <w:rPr>
          <w:sz w:val="20"/>
          <w:szCs w:val="20"/>
        </w:rPr>
        <w:tab/>
      </w:r>
      <w:r>
        <w:rPr>
          <w:sz w:val="20"/>
          <w:szCs w:val="20"/>
        </w:rPr>
        <w:tab/>
      </w:r>
      <w:r>
        <w:rPr>
          <w:sz w:val="20"/>
          <w:szCs w:val="20"/>
        </w:rPr>
        <w:tab/>
      </w:r>
      <w:r>
        <w:rPr>
          <w:sz w:val="20"/>
          <w:szCs w:val="20"/>
        </w:rPr>
        <w:tab/>
        <w:t>Moderate acute malnutrition</w:t>
      </w:r>
    </w:p>
    <w:p w14:paraId="2FF87018" w14:textId="77777777" w:rsidR="00AA1643" w:rsidRDefault="00A54E22" w:rsidP="00414ACC">
      <w:pPr>
        <w:spacing w:before="120"/>
        <w:rPr>
          <w:sz w:val="20"/>
          <w:szCs w:val="20"/>
        </w:rPr>
      </w:pPr>
      <w:r>
        <w:rPr>
          <w:sz w:val="20"/>
          <w:szCs w:val="20"/>
        </w:rPr>
        <w:t>MCH</w:t>
      </w:r>
      <w:r>
        <w:rPr>
          <w:sz w:val="20"/>
          <w:szCs w:val="20"/>
        </w:rPr>
        <w:tab/>
      </w:r>
      <w:r>
        <w:rPr>
          <w:sz w:val="20"/>
          <w:szCs w:val="20"/>
        </w:rPr>
        <w:tab/>
      </w:r>
      <w:r>
        <w:rPr>
          <w:sz w:val="20"/>
          <w:szCs w:val="20"/>
        </w:rPr>
        <w:tab/>
      </w:r>
      <w:r>
        <w:rPr>
          <w:sz w:val="20"/>
          <w:szCs w:val="20"/>
        </w:rPr>
        <w:tab/>
      </w:r>
      <w:r>
        <w:rPr>
          <w:sz w:val="20"/>
          <w:szCs w:val="20"/>
        </w:rPr>
        <w:tab/>
        <w:t xml:space="preserve">Maternal and child health </w:t>
      </w:r>
    </w:p>
    <w:p w14:paraId="68F106D5" w14:textId="77777777" w:rsidR="00A54E22" w:rsidRDefault="00A54E22" w:rsidP="00414ACC">
      <w:pPr>
        <w:spacing w:before="120"/>
        <w:rPr>
          <w:sz w:val="20"/>
          <w:szCs w:val="20"/>
        </w:rPr>
      </w:pPr>
      <w:r>
        <w:rPr>
          <w:sz w:val="20"/>
          <w:szCs w:val="20"/>
        </w:rPr>
        <w:t>SAM</w:t>
      </w:r>
      <w:r>
        <w:rPr>
          <w:sz w:val="20"/>
          <w:szCs w:val="20"/>
        </w:rPr>
        <w:tab/>
      </w:r>
      <w:r>
        <w:rPr>
          <w:sz w:val="20"/>
          <w:szCs w:val="20"/>
        </w:rPr>
        <w:tab/>
      </w:r>
      <w:r>
        <w:rPr>
          <w:sz w:val="20"/>
          <w:szCs w:val="20"/>
        </w:rPr>
        <w:tab/>
      </w:r>
      <w:r>
        <w:rPr>
          <w:sz w:val="20"/>
          <w:szCs w:val="20"/>
        </w:rPr>
        <w:tab/>
      </w:r>
      <w:r>
        <w:rPr>
          <w:sz w:val="20"/>
          <w:szCs w:val="20"/>
        </w:rPr>
        <w:tab/>
        <w:t>Severe acute malnutrition</w:t>
      </w:r>
    </w:p>
    <w:p w14:paraId="01A0097A" w14:textId="77777777" w:rsidR="00A54E22" w:rsidRPr="00414ACC" w:rsidRDefault="00A54E22" w:rsidP="00414ACC">
      <w:pPr>
        <w:spacing w:before="120"/>
        <w:rPr>
          <w:sz w:val="20"/>
          <w:szCs w:val="20"/>
        </w:rPr>
      </w:pPr>
      <w:r>
        <w:rPr>
          <w:sz w:val="20"/>
          <w:szCs w:val="20"/>
        </w:rPr>
        <w:t>SCHMT</w:t>
      </w:r>
      <w:r>
        <w:rPr>
          <w:sz w:val="20"/>
          <w:szCs w:val="20"/>
        </w:rPr>
        <w:tab/>
      </w:r>
      <w:r>
        <w:rPr>
          <w:sz w:val="20"/>
          <w:szCs w:val="20"/>
        </w:rPr>
        <w:tab/>
      </w:r>
      <w:r>
        <w:rPr>
          <w:sz w:val="20"/>
          <w:szCs w:val="20"/>
        </w:rPr>
        <w:tab/>
      </w:r>
      <w:r>
        <w:rPr>
          <w:sz w:val="20"/>
          <w:szCs w:val="20"/>
        </w:rPr>
        <w:tab/>
      </w:r>
      <w:r>
        <w:rPr>
          <w:sz w:val="20"/>
          <w:szCs w:val="20"/>
        </w:rPr>
        <w:tab/>
        <w:t>Sub-County Health Management Teams</w:t>
      </w:r>
    </w:p>
    <w:p w14:paraId="7398369A" w14:textId="77777777" w:rsidR="00414ACC" w:rsidRPr="00414ACC" w:rsidRDefault="00414ACC" w:rsidP="00414ACC"/>
    <w:p w14:paraId="3173B55F" w14:textId="77777777" w:rsidR="00414ACC" w:rsidRDefault="00414ACC">
      <w:pPr>
        <w:rPr>
          <w:rFonts w:asciiTheme="majorHAnsi" w:eastAsiaTheme="majorEastAsia" w:hAnsiTheme="majorHAnsi" w:cstheme="majorBidi"/>
          <w:b/>
          <w:color w:val="2E74B5" w:themeColor="accent1" w:themeShade="BF"/>
          <w:sz w:val="32"/>
          <w:szCs w:val="32"/>
        </w:rPr>
      </w:pPr>
      <w:r>
        <w:rPr>
          <w:b/>
        </w:rPr>
        <w:br w:type="page"/>
      </w:r>
    </w:p>
    <w:p w14:paraId="3F01D374" w14:textId="77777777" w:rsidR="00AD62F0" w:rsidRDefault="00AD62F0" w:rsidP="00AD62F0">
      <w:pPr>
        <w:pStyle w:val="Heading1"/>
        <w:rPr>
          <w:b/>
        </w:rPr>
      </w:pPr>
      <w:bookmarkStart w:id="2" w:name="_Toc428029655"/>
      <w:r w:rsidRPr="00EC7575">
        <w:rPr>
          <w:b/>
        </w:rPr>
        <w:lastRenderedPageBreak/>
        <w:t>Acknowledgements</w:t>
      </w:r>
      <w:bookmarkEnd w:id="2"/>
    </w:p>
    <w:p w14:paraId="6B555DA2" w14:textId="77777777" w:rsidR="00A83CBC" w:rsidRPr="00A83CBC" w:rsidRDefault="00A83CBC" w:rsidP="00A83CBC"/>
    <w:p w14:paraId="4419F018" w14:textId="77777777" w:rsidR="00D644B5" w:rsidRDefault="00D644B5" w:rsidP="00D644B5">
      <w:pPr>
        <w:spacing w:before="120"/>
        <w:rPr>
          <w:sz w:val="20"/>
          <w:szCs w:val="20"/>
        </w:rPr>
      </w:pPr>
      <w:r>
        <w:rPr>
          <w:sz w:val="20"/>
          <w:szCs w:val="20"/>
        </w:rPr>
        <w:t>The author would like to acknowledgement the following individuals for their contribution to this review.</w:t>
      </w:r>
    </w:p>
    <w:p w14:paraId="321C9239" w14:textId="77777777" w:rsidR="00645AC2" w:rsidRDefault="00645AC2" w:rsidP="00645AC2">
      <w:pPr>
        <w:rPr>
          <w:sz w:val="20"/>
          <w:szCs w:val="20"/>
        </w:rPr>
      </w:pPr>
      <w:r>
        <w:rPr>
          <w:sz w:val="20"/>
          <w:szCs w:val="20"/>
        </w:rPr>
        <w:t>The Nairobi County Health Management Team:</w:t>
      </w:r>
    </w:p>
    <w:p w14:paraId="0D2275D1" w14:textId="77777777" w:rsidR="00645AC2" w:rsidRDefault="00645AC2" w:rsidP="00391BA2">
      <w:pPr>
        <w:rPr>
          <w:sz w:val="20"/>
          <w:szCs w:val="20"/>
        </w:rPr>
      </w:pPr>
      <w:r>
        <w:rPr>
          <w:sz w:val="20"/>
          <w:szCs w:val="20"/>
        </w:rPr>
        <w:t xml:space="preserve">County Director of Health Dr. Samuel </w:t>
      </w:r>
      <w:proofErr w:type="spellStart"/>
      <w:r>
        <w:rPr>
          <w:sz w:val="20"/>
          <w:szCs w:val="20"/>
        </w:rPr>
        <w:t>Ochola</w:t>
      </w:r>
      <w:proofErr w:type="spellEnd"/>
    </w:p>
    <w:p w14:paraId="7E0E95FC" w14:textId="77777777" w:rsidR="00645AC2" w:rsidRPr="00645AC2" w:rsidRDefault="00645AC2" w:rsidP="00391BA2">
      <w:pPr>
        <w:pStyle w:val="ListParagraph"/>
        <w:numPr>
          <w:ilvl w:val="0"/>
          <w:numId w:val="12"/>
        </w:numPr>
        <w:spacing w:after="0"/>
        <w:rPr>
          <w:sz w:val="20"/>
          <w:szCs w:val="20"/>
        </w:rPr>
      </w:pPr>
      <w:r w:rsidRPr="00645AC2">
        <w:rPr>
          <w:sz w:val="20"/>
          <w:szCs w:val="20"/>
        </w:rPr>
        <w:t xml:space="preserve">DDMS/Head Primary Health Services, Dr. Thomas </w:t>
      </w:r>
      <w:proofErr w:type="spellStart"/>
      <w:r w:rsidRPr="00645AC2">
        <w:rPr>
          <w:sz w:val="20"/>
          <w:szCs w:val="20"/>
        </w:rPr>
        <w:t>Ogaro</w:t>
      </w:r>
      <w:proofErr w:type="spellEnd"/>
      <w:r w:rsidRPr="00645AC2">
        <w:rPr>
          <w:sz w:val="20"/>
          <w:szCs w:val="20"/>
        </w:rPr>
        <w:t xml:space="preserve"> </w:t>
      </w:r>
    </w:p>
    <w:p w14:paraId="109CD431" w14:textId="4C524A8E" w:rsidR="00645AC2" w:rsidRPr="00645AC2" w:rsidRDefault="00391BA2" w:rsidP="00391BA2">
      <w:pPr>
        <w:pStyle w:val="ListParagraph"/>
        <w:numPr>
          <w:ilvl w:val="0"/>
          <w:numId w:val="12"/>
        </w:numPr>
        <w:spacing w:after="0"/>
        <w:rPr>
          <w:sz w:val="20"/>
          <w:szCs w:val="20"/>
        </w:rPr>
      </w:pPr>
      <w:r>
        <w:rPr>
          <w:sz w:val="20"/>
          <w:szCs w:val="20"/>
        </w:rPr>
        <w:t>Cancer and Operational Research</w:t>
      </w:r>
      <w:r w:rsidRPr="00391BA2">
        <w:rPr>
          <w:sz w:val="20"/>
          <w:szCs w:val="20"/>
        </w:rPr>
        <w:t xml:space="preserve"> </w:t>
      </w:r>
      <w:r>
        <w:rPr>
          <w:sz w:val="20"/>
          <w:szCs w:val="20"/>
        </w:rPr>
        <w:t>Coordinator,</w:t>
      </w:r>
      <w:r w:rsidR="00645AC2" w:rsidRPr="00645AC2">
        <w:rPr>
          <w:sz w:val="20"/>
          <w:szCs w:val="20"/>
        </w:rPr>
        <w:t xml:space="preserve"> Dr. </w:t>
      </w:r>
      <w:proofErr w:type="spellStart"/>
      <w:r w:rsidR="00645AC2" w:rsidRPr="00645AC2">
        <w:rPr>
          <w:sz w:val="20"/>
          <w:szCs w:val="20"/>
        </w:rPr>
        <w:t>Nkatha</w:t>
      </w:r>
      <w:proofErr w:type="spellEnd"/>
      <w:r w:rsidR="00645AC2" w:rsidRPr="00645AC2">
        <w:rPr>
          <w:sz w:val="20"/>
          <w:szCs w:val="20"/>
        </w:rPr>
        <w:t xml:space="preserve"> Meme</w:t>
      </w:r>
    </w:p>
    <w:p w14:paraId="6B852826" w14:textId="77777777" w:rsidR="00645AC2" w:rsidRPr="00645AC2" w:rsidRDefault="00645AC2" w:rsidP="00391BA2">
      <w:pPr>
        <w:pStyle w:val="ListParagraph"/>
        <w:numPr>
          <w:ilvl w:val="0"/>
          <w:numId w:val="12"/>
        </w:numPr>
        <w:spacing w:after="0"/>
        <w:rPr>
          <w:sz w:val="20"/>
          <w:szCs w:val="20"/>
        </w:rPr>
      </w:pPr>
      <w:r w:rsidRPr="00645AC2">
        <w:rPr>
          <w:sz w:val="20"/>
          <w:szCs w:val="20"/>
        </w:rPr>
        <w:t xml:space="preserve">Nutrition Officer, Caroline </w:t>
      </w:r>
      <w:proofErr w:type="spellStart"/>
      <w:r w:rsidRPr="00645AC2">
        <w:rPr>
          <w:sz w:val="20"/>
          <w:szCs w:val="20"/>
        </w:rPr>
        <w:t>Nabukanda</w:t>
      </w:r>
      <w:proofErr w:type="spellEnd"/>
    </w:p>
    <w:p w14:paraId="6E623D87" w14:textId="52DB9F58" w:rsidR="00645AC2" w:rsidRPr="002727F2" w:rsidRDefault="00645AC2" w:rsidP="00645AC2">
      <w:pPr>
        <w:rPr>
          <w:sz w:val="20"/>
          <w:szCs w:val="20"/>
        </w:rPr>
      </w:pPr>
      <w:r>
        <w:rPr>
          <w:sz w:val="20"/>
          <w:szCs w:val="20"/>
        </w:rPr>
        <w:t xml:space="preserve">The </w:t>
      </w:r>
      <w:r w:rsidRPr="002727F2">
        <w:rPr>
          <w:sz w:val="20"/>
          <w:szCs w:val="20"/>
        </w:rPr>
        <w:t>Sub-County Medical Officers</w:t>
      </w:r>
      <w:r>
        <w:rPr>
          <w:sz w:val="20"/>
          <w:szCs w:val="20"/>
        </w:rPr>
        <w:t xml:space="preserve"> in the eight Sub-Counties </w:t>
      </w:r>
      <w:r w:rsidR="00391BA2">
        <w:rPr>
          <w:sz w:val="20"/>
          <w:szCs w:val="20"/>
        </w:rPr>
        <w:t>consulted</w:t>
      </w:r>
      <w:r>
        <w:rPr>
          <w:sz w:val="20"/>
          <w:szCs w:val="20"/>
        </w:rPr>
        <w:t xml:space="preserve"> as part of this review:</w:t>
      </w:r>
      <w:r w:rsidRPr="002727F2">
        <w:rPr>
          <w:sz w:val="20"/>
          <w:szCs w:val="20"/>
        </w:rPr>
        <w:t xml:space="preserve"> </w:t>
      </w:r>
    </w:p>
    <w:p w14:paraId="49DF4A78"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Starehe</w:t>
      </w:r>
      <w:proofErr w:type="spellEnd"/>
      <w:r w:rsidRPr="00645AC2">
        <w:rPr>
          <w:sz w:val="20"/>
          <w:szCs w:val="20"/>
        </w:rPr>
        <w:t xml:space="preserve"> Sub-County, Dr. </w:t>
      </w:r>
      <w:proofErr w:type="spellStart"/>
      <w:r w:rsidRPr="00645AC2">
        <w:rPr>
          <w:sz w:val="20"/>
          <w:szCs w:val="20"/>
        </w:rPr>
        <w:t>Nywira</w:t>
      </w:r>
      <w:proofErr w:type="spellEnd"/>
      <w:r w:rsidRPr="00645AC2">
        <w:rPr>
          <w:sz w:val="20"/>
          <w:szCs w:val="20"/>
        </w:rPr>
        <w:t xml:space="preserve"> </w:t>
      </w:r>
      <w:proofErr w:type="spellStart"/>
      <w:r w:rsidRPr="00645AC2">
        <w:rPr>
          <w:sz w:val="20"/>
          <w:szCs w:val="20"/>
        </w:rPr>
        <w:t>Nyagah</w:t>
      </w:r>
      <w:proofErr w:type="spellEnd"/>
      <w:r w:rsidRPr="00645AC2">
        <w:rPr>
          <w:sz w:val="20"/>
          <w:szCs w:val="20"/>
        </w:rPr>
        <w:t xml:space="preserve"> </w:t>
      </w:r>
    </w:p>
    <w:p w14:paraId="1638C320"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Ruaraka</w:t>
      </w:r>
      <w:proofErr w:type="spellEnd"/>
      <w:r w:rsidRPr="00645AC2">
        <w:rPr>
          <w:sz w:val="20"/>
          <w:szCs w:val="20"/>
        </w:rPr>
        <w:t xml:space="preserve"> Sub-County, Dr. </w:t>
      </w:r>
      <w:proofErr w:type="spellStart"/>
      <w:r w:rsidRPr="00645AC2">
        <w:rPr>
          <w:sz w:val="20"/>
          <w:szCs w:val="20"/>
        </w:rPr>
        <w:t>Juma</w:t>
      </w:r>
      <w:proofErr w:type="spellEnd"/>
      <w:r w:rsidRPr="00645AC2">
        <w:rPr>
          <w:sz w:val="20"/>
          <w:szCs w:val="20"/>
        </w:rPr>
        <w:t xml:space="preserve"> </w:t>
      </w:r>
      <w:proofErr w:type="spellStart"/>
      <w:r w:rsidRPr="00645AC2">
        <w:rPr>
          <w:sz w:val="20"/>
          <w:szCs w:val="20"/>
        </w:rPr>
        <w:t>Yasin</w:t>
      </w:r>
      <w:proofErr w:type="spellEnd"/>
    </w:p>
    <w:p w14:paraId="1AA25AD3"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Westlands</w:t>
      </w:r>
      <w:proofErr w:type="spellEnd"/>
      <w:r w:rsidRPr="00645AC2">
        <w:rPr>
          <w:sz w:val="20"/>
          <w:szCs w:val="20"/>
        </w:rPr>
        <w:t xml:space="preserve"> Sub-County, Dr. Florence </w:t>
      </w:r>
      <w:proofErr w:type="spellStart"/>
      <w:r w:rsidRPr="00645AC2">
        <w:rPr>
          <w:sz w:val="20"/>
          <w:szCs w:val="20"/>
        </w:rPr>
        <w:t>Akinyi</w:t>
      </w:r>
      <w:proofErr w:type="spellEnd"/>
      <w:r w:rsidRPr="00645AC2">
        <w:rPr>
          <w:sz w:val="20"/>
          <w:szCs w:val="20"/>
        </w:rPr>
        <w:t xml:space="preserve"> </w:t>
      </w:r>
    </w:p>
    <w:p w14:paraId="61830CF8"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Kamukunji</w:t>
      </w:r>
      <w:proofErr w:type="spellEnd"/>
      <w:r w:rsidRPr="00645AC2">
        <w:rPr>
          <w:sz w:val="20"/>
          <w:szCs w:val="20"/>
        </w:rPr>
        <w:t xml:space="preserve"> Sub-County, Dr.  Jackson Munda</w:t>
      </w:r>
    </w:p>
    <w:p w14:paraId="7B956865"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Kasarani</w:t>
      </w:r>
      <w:proofErr w:type="spellEnd"/>
      <w:r w:rsidRPr="00645AC2">
        <w:rPr>
          <w:sz w:val="20"/>
          <w:szCs w:val="20"/>
        </w:rPr>
        <w:t xml:space="preserve"> Sub-County, Dr. Robert </w:t>
      </w:r>
      <w:proofErr w:type="spellStart"/>
      <w:r w:rsidRPr="00645AC2">
        <w:rPr>
          <w:sz w:val="20"/>
          <w:szCs w:val="20"/>
        </w:rPr>
        <w:t>Mbangua</w:t>
      </w:r>
      <w:proofErr w:type="spellEnd"/>
    </w:p>
    <w:p w14:paraId="2DD2F6E2"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Makadara</w:t>
      </w:r>
      <w:proofErr w:type="spellEnd"/>
      <w:r w:rsidRPr="00645AC2">
        <w:rPr>
          <w:sz w:val="20"/>
          <w:szCs w:val="20"/>
        </w:rPr>
        <w:t xml:space="preserve"> Sub-County, Dr. Judy </w:t>
      </w:r>
      <w:proofErr w:type="spellStart"/>
      <w:r w:rsidRPr="00645AC2">
        <w:rPr>
          <w:sz w:val="20"/>
          <w:szCs w:val="20"/>
        </w:rPr>
        <w:t>Gichuki</w:t>
      </w:r>
      <w:proofErr w:type="spellEnd"/>
    </w:p>
    <w:p w14:paraId="11561040" w14:textId="77777777" w:rsidR="00645AC2" w:rsidRPr="00645AC2" w:rsidRDefault="00645AC2" w:rsidP="00645AC2">
      <w:pPr>
        <w:pStyle w:val="ListParagraph"/>
        <w:numPr>
          <w:ilvl w:val="0"/>
          <w:numId w:val="13"/>
        </w:numPr>
        <w:rPr>
          <w:sz w:val="20"/>
          <w:szCs w:val="20"/>
        </w:rPr>
      </w:pPr>
      <w:proofErr w:type="spellStart"/>
      <w:r w:rsidRPr="00645AC2">
        <w:rPr>
          <w:sz w:val="20"/>
          <w:szCs w:val="20"/>
        </w:rPr>
        <w:t>Dagoreti</w:t>
      </w:r>
      <w:proofErr w:type="spellEnd"/>
      <w:r w:rsidRPr="00645AC2">
        <w:rPr>
          <w:sz w:val="20"/>
          <w:szCs w:val="20"/>
        </w:rPr>
        <w:t xml:space="preserve"> Sub-County, Dr. Rose </w:t>
      </w:r>
      <w:proofErr w:type="spellStart"/>
      <w:r w:rsidRPr="00645AC2">
        <w:rPr>
          <w:sz w:val="20"/>
          <w:szCs w:val="20"/>
        </w:rPr>
        <w:t>Misati</w:t>
      </w:r>
      <w:proofErr w:type="spellEnd"/>
    </w:p>
    <w:p w14:paraId="2DBA1A0E" w14:textId="77777777" w:rsidR="00645AC2" w:rsidRPr="00645AC2" w:rsidRDefault="00645AC2" w:rsidP="00391BA2">
      <w:pPr>
        <w:pStyle w:val="ListParagraph"/>
        <w:numPr>
          <w:ilvl w:val="0"/>
          <w:numId w:val="13"/>
        </w:numPr>
        <w:spacing w:after="120"/>
        <w:rPr>
          <w:sz w:val="20"/>
          <w:szCs w:val="20"/>
        </w:rPr>
      </w:pPr>
      <w:proofErr w:type="spellStart"/>
      <w:r w:rsidRPr="00645AC2">
        <w:rPr>
          <w:sz w:val="20"/>
          <w:szCs w:val="20"/>
        </w:rPr>
        <w:t>Embakasi</w:t>
      </w:r>
      <w:proofErr w:type="spellEnd"/>
      <w:r w:rsidRPr="00645AC2">
        <w:rPr>
          <w:sz w:val="20"/>
          <w:szCs w:val="20"/>
        </w:rPr>
        <w:t xml:space="preserve"> Sub-County, Dr. Moses </w:t>
      </w:r>
      <w:proofErr w:type="spellStart"/>
      <w:r w:rsidRPr="00645AC2">
        <w:rPr>
          <w:sz w:val="20"/>
          <w:szCs w:val="20"/>
        </w:rPr>
        <w:t>Owino</w:t>
      </w:r>
      <w:proofErr w:type="spellEnd"/>
    </w:p>
    <w:p w14:paraId="57864468" w14:textId="77777777" w:rsidR="00645AC2" w:rsidRPr="00871BD0" w:rsidRDefault="00645AC2" w:rsidP="00645AC2">
      <w:pPr>
        <w:rPr>
          <w:sz w:val="20"/>
          <w:szCs w:val="20"/>
        </w:rPr>
      </w:pPr>
      <w:proofErr w:type="gramStart"/>
      <w:r>
        <w:rPr>
          <w:sz w:val="20"/>
          <w:szCs w:val="20"/>
        </w:rPr>
        <w:t>The facility-in-charges and h</w:t>
      </w:r>
      <w:r w:rsidRPr="00871BD0">
        <w:rPr>
          <w:sz w:val="20"/>
          <w:szCs w:val="20"/>
        </w:rPr>
        <w:t>ealth workers</w:t>
      </w:r>
      <w:r>
        <w:rPr>
          <w:sz w:val="20"/>
          <w:szCs w:val="20"/>
        </w:rPr>
        <w:t xml:space="preserve"> at the visited health facilities as well as the caretakers and their children for their patience and insights.</w:t>
      </w:r>
      <w:proofErr w:type="gramEnd"/>
      <w:r>
        <w:rPr>
          <w:sz w:val="20"/>
          <w:szCs w:val="20"/>
        </w:rPr>
        <w:t xml:space="preserve"> </w:t>
      </w:r>
    </w:p>
    <w:p w14:paraId="54FB21E5" w14:textId="77777777" w:rsidR="00645AC2" w:rsidRDefault="00645AC2" w:rsidP="00D644B5">
      <w:pPr>
        <w:spacing w:before="120"/>
        <w:rPr>
          <w:sz w:val="20"/>
          <w:szCs w:val="20"/>
        </w:rPr>
      </w:pPr>
      <w:r>
        <w:rPr>
          <w:sz w:val="20"/>
          <w:szCs w:val="20"/>
        </w:rPr>
        <w:t>From Concern Worldwide, gratitude is extended to:</w:t>
      </w:r>
    </w:p>
    <w:p w14:paraId="41503F69" w14:textId="77777777" w:rsidR="002727F2" w:rsidRPr="00645AC2" w:rsidRDefault="00645AC2" w:rsidP="00391BA2">
      <w:pPr>
        <w:pStyle w:val="ListParagraph"/>
        <w:numPr>
          <w:ilvl w:val="0"/>
          <w:numId w:val="14"/>
        </w:numPr>
        <w:spacing w:before="120" w:after="120"/>
        <w:rPr>
          <w:sz w:val="20"/>
          <w:szCs w:val="20"/>
        </w:rPr>
      </w:pPr>
      <w:r w:rsidRPr="00645AC2">
        <w:rPr>
          <w:sz w:val="20"/>
          <w:szCs w:val="20"/>
        </w:rPr>
        <w:t xml:space="preserve">Research Assistants, </w:t>
      </w:r>
      <w:r w:rsidR="002727F2" w:rsidRPr="00645AC2">
        <w:rPr>
          <w:sz w:val="20"/>
          <w:szCs w:val="20"/>
        </w:rPr>
        <w:t xml:space="preserve">Daisy </w:t>
      </w:r>
      <w:proofErr w:type="spellStart"/>
      <w:r w:rsidR="002727F2" w:rsidRPr="00645AC2">
        <w:rPr>
          <w:sz w:val="20"/>
          <w:szCs w:val="20"/>
        </w:rPr>
        <w:t>Ruguru</w:t>
      </w:r>
      <w:proofErr w:type="spellEnd"/>
      <w:r w:rsidR="002727F2" w:rsidRPr="00645AC2">
        <w:rPr>
          <w:sz w:val="20"/>
          <w:szCs w:val="20"/>
        </w:rPr>
        <w:t xml:space="preserve"> </w:t>
      </w:r>
      <w:proofErr w:type="spellStart"/>
      <w:r w:rsidR="002727F2" w:rsidRPr="00645AC2">
        <w:rPr>
          <w:sz w:val="20"/>
          <w:szCs w:val="20"/>
        </w:rPr>
        <w:t>Nyaga</w:t>
      </w:r>
      <w:proofErr w:type="spellEnd"/>
      <w:r w:rsidR="002727F2" w:rsidRPr="00645AC2">
        <w:rPr>
          <w:sz w:val="20"/>
          <w:szCs w:val="20"/>
        </w:rPr>
        <w:t xml:space="preserve"> and Faith </w:t>
      </w:r>
      <w:proofErr w:type="spellStart"/>
      <w:r w:rsidR="002727F2" w:rsidRPr="00645AC2">
        <w:rPr>
          <w:sz w:val="20"/>
          <w:szCs w:val="20"/>
        </w:rPr>
        <w:t>Gatune</w:t>
      </w:r>
      <w:proofErr w:type="spellEnd"/>
      <w:r w:rsidR="002727F2" w:rsidRPr="00645AC2">
        <w:rPr>
          <w:sz w:val="20"/>
          <w:szCs w:val="20"/>
        </w:rPr>
        <w:t xml:space="preserve"> </w:t>
      </w:r>
    </w:p>
    <w:p w14:paraId="3E9D643B" w14:textId="77777777" w:rsidR="00645AC2" w:rsidRPr="00645AC2" w:rsidRDefault="00645AC2" w:rsidP="00645AC2">
      <w:pPr>
        <w:pStyle w:val="ListParagraph"/>
        <w:numPr>
          <w:ilvl w:val="0"/>
          <w:numId w:val="14"/>
        </w:numPr>
        <w:rPr>
          <w:sz w:val="20"/>
          <w:szCs w:val="20"/>
        </w:rPr>
      </w:pPr>
      <w:r w:rsidRPr="00645AC2">
        <w:rPr>
          <w:sz w:val="20"/>
          <w:szCs w:val="20"/>
        </w:rPr>
        <w:t xml:space="preserve">Technical oversight (Kenya), </w:t>
      </w:r>
      <w:r w:rsidR="00CE11D0" w:rsidRPr="00645AC2">
        <w:rPr>
          <w:sz w:val="20"/>
          <w:szCs w:val="20"/>
        </w:rPr>
        <w:t>Regina Mbochi</w:t>
      </w:r>
      <w:r w:rsidR="00D644B5" w:rsidRPr="00645AC2">
        <w:rPr>
          <w:sz w:val="20"/>
          <w:szCs w:val="20"/>
        </w:rPr>
        <w:t xml:space="preserve"> and </w:t>
      </w:r>
      <w:r w:rsidR="00CE11D0" w:rsidRPr="00645AC2">
        <w:rPr>
          <w:sz w:val="20"/>
          <w:szCs w:val="20"/>
        </w:rPr>
        <w:t xml:space="preserve">Koki </w:t>
      </w:r>
      <w:proofErr w:type="spellStart"/>
      <w:r w:rsidR="00CE11D0" w:rsidRPr="00645AC2">
        <w:rPr>
          <w:sz w:val="20"/>
          <w:szCs w:val="20"/>
        </w:rPr>
        <w:t>Kyalo</w:t>
      </w:r>
      <w:proofErr w:type="spellEnd"/>
      <w:r w:rsidR="00D644B5" w:rsidRPr="00645AC2">
        <w:rPr>
          <w:sz w:val="20"/>
          <w:szCs w:val="20"/>
        </w:rPr>
        <w:t xml:space="preserve"> </w:t>
      </w:r>
    </w:p>
    <w:p w14:paraId="371AF10B" w14:textId="77777777" w:rsidR="00645AC2" w:rsidRPr="00645AC2" w:rsidRDefault="00645AC2" w:rsidP="00391BA2">
      <w:pPr>
        <w:pStyle w:val="ListParagraph"/>
        <w:numPr>
          <w:ilvl w:val="0"/>
          <w:numId w:val="14"/>
        </w:numPr>
        <w:spacing w:after="120"/>
        <w:rPr>
          <w:sz w:val="20"/>
          <w:szCs w:val="20"/>
        </w:rPr>
      </w:pPr>
      <w:r w:rsidRPr="00645AC2">
        <w:rPr>
          <w:sz w:val="20"/>
          <w:szCs w:val="20"/>
        </w:rPr>
        <w:t xml:space="preserve">Technical support (Ireland), </w:t>
      </w:r>
      <w:r w:rsidR="00D644B5" w:rsidRPr="00645AC2">
        <w:rPr>
          <w:sz w:val="20"/>
          <w:szCs w:val="20"/>
        </w:rPr>
        <w:t xml:space="preserve">Breda Gahan </w:t>
      </w:r>
    </w:p>
    <w:p w14:paraId="1F9E0306" w14:textId="77777777" w:rsidR="00871BD0" w:rsidRDefault="00645AC2" w:rsidP="00AD62F0">
      <w:pPr>
        <w:rPr>
          <w:sz w:val="20"/>
          <w:szCs w:val="20"/>
        </w:rPr>
      </w:pPr>
      <w:r>
        <w:rPr>
          <w:sz w:val="20"/>
          <w:szCs w:val="20"/>
        </w:rPr>
        <w:t>The consultant further wishes to acknowledge the g</w:t>
      </w:r>
      <w:r w:rsidR="00D644B5">
        <w:rPr>
          <w:sz w:val="20"/>
          <w:szCs w:val="20"/>
        </w:rPr>
        <w:t>enerous f</w:t>
      </w:r>
      <w:r w:rsidR="00871BD0">
        <w:rPr>
          <w:sz w:val="20"/>
          <w:szCs w:val="20"/>
        </w:rPr>
        <w:t>unding from UNICEF</w:t>
      </w:r>
      <w:r w:rsidR="00D644B5">
        <w:rPr>
          <w:sz w:val="20"/>
          <w:szCs w:val="20"/>
        </w:rPr>
        <w:t xml:space="preserve"> Kenya’s nutrition section.</w:t>
      </w:r>
    </w:p>
    <w:p w14:paraId="38D83AE9" w14:textId="77777777" w:rsidR="003B0622" w:rsidRDefault="003B0622" w:rsidP="00AD62F0">
      <w:pPr>
        <w:rPr>
          <w:sz w:val="20"/>
          <w:szCs w:val="20"/>
        </w:rPr>
      </w:pPr>
    </w:p>
    <w:p w14:paraId="5A58BFB4" w14:textId="2CC27F1B" w:rsidR="003B0622" w:rsidRPr="003B0622" w:rsidRDefault="003B0622" w:rsidP="00AD62F0">
      <w:pPr>
        <w:rPr>
          <w:sz w:val="20"/>
          <w:szCs w:val="20"/>
        </w:rPr>
      </w:pPr>
      <w:r w:rsidRPr="003B0622">
        <w:rPr>
          <w:b/>
          <w:sz w:val="20"/>
          <w:szCs w:val="20"/>
        </w:rPr>
        <w:t>Recommended citation:</w:t>
      </w:r>
      <w:r w:rsidRPr="003B0622">
        <w:rPr>
          <w:sz w:val="20"/>
          <w:szCs w:val="20"/>
        </w:rPr>
        <w:t xml:space="preserve"> </w:t>
      </w:r>
      <w:proofErr w:type="spellStart"/>
      <w:r w:rsidRPr="003B0622">
        <w:rPr>
          <w:sz w:val="20"/>
          <w:szCs w:val="20"/>
        </w:rPr>
        <w:t>Appleford</w:t>
      </w:r>
      <w:proofErr w:type="spellEnd"/>
      <w:r w:rsidRPr="003B0622">
        <w:rPr>
          <w:sz w:val="20"/>
          <w:szCs w:val="20"/>
        </w:rPr>
        <w:t xml:space="preserve">, G., </w:t>
      </w:r>
      <w:proofErr w:type="spellStart"/>
      <w:r w:rsidRPr="003B0622">
        <w:rPr>
          <w:sz w:val="20"/>
          <w:szCs w:val="20"/>
        </w:rPr>
        <w:t>Ochola</w:t>
      </w:r>
      <w:proofErr w:type="spellEnd"/>
      <w:r w:rsidRPr="003B0622">
        <w:rPr>
          <w:sz w:val="20"/>
          <w:szCs w:val="20"/>
        </w:rPr>
        <w:t xml:space="preserve">, S., </w:t>
      </w:r>
      <w:proofErr w:type="spellStart"/>
      <w:r w:rsidRPr="003B0622">
        <w:rPr>
          <w:sz w:val="20"/>
          <w:szCs w:val="20"/>
        </w:rPr>
        <w:t>Ogaro</w:t>
      </w:r>
      <w:proofErr w:type="spellEnd"/>
      <w:r w:rsidRPr="003B0622">
        <w:rPr>
          <w:sz w:val="20"/>
          <w:szCs w:val="20"/>
        </w:rPr>
        <w:t xml:space="preserve">, T., </w:t>
      </w:r>
      <w:proofErr w:type="spellStart"/>
      <w:r w:rsidRPr="003B0622">
        <w:rPr>
          <w:sz w:val="20"/>
          <w:szCs w:val="20"/>
        </w:rPr>
        <w:t>Kyalo</w:t>
      </w:r>
      <w:proofErr w:type="spellEnd"/>
      <w:r w:rsidRPr="003B0622">
        <w:rPr>
          <w:sz w:val="20"/>
          <w:szCs w:val="20"/>
        </w:rPr>
        <w:t xml:space="preserve">, K. and R. Mbochi, 2015. MCH Services: why do caregivers not attend? A Review of Barriers to the </w:t>
      </w:r>
      <w:proofErr w:type="spellStart"/>
      <w:r w:rsidRPr="003B0622">
        <w:rPr>
          <w:sz w:val="20"/>
          <w:szCs w:val="20"/>
        </w:rPr>
        <w:t>Utilisation</w:t>
      </w:r>
      <w:proofErr w:type="spellEnd"/>
      <w:r w:rsidRPr="003B0622">
        <w:rPr>
          <w:sz w:val="20"/>
          <w:szCs w:val="20"/>
        </w:rPr>
        <w:t xml:space="preserve"> of Maternal and Child Health Services </w:t>
      </w:r>
      <w:proofErr w:type="gramStart"/>
      <w:r w:rsidRPr="003B0622">
        <w:rPr>
          <w:sz w:val="20"/>
          <w:szCs w:val="20"/>
        </w:rPr>
        <w:t>In</w:t>
      </w:r>
      <w:proofErr w:type="gramEnd"/>
      <w:r w:rsidRPr="003B0622">
        <w:rPr>
          <w:sz w:val="20"/>
          <w:szCs w:val="20"/>
        </w:rPr>
        <w:t xml:space="preserve"> Nairobi Informal Settlements. Concern Worldwide, Nairobi, Kenya.</w:t>
      </w:r>
    </w:p>
    <w:p w14:paraId="0BE6B05C" w14:textId="77777777" w:rsidR="00414ACC" w:rsidRDefault="00414ACC">
      <w:pPr>
        <w:rPr>
          <w:rFonts w:asciiTheme="majorHAnsi" w:eastAsiaTheme="majorEastAsia" w:hAnsiTheme="majorHAnsi" w:cstheme="majorBidi"/>
          <w:b/>
          <w:color w:val="2E74B5" w:themeColor="accent1" w:themeShade="BF"/>
          <w:sz w:val="32"/>
          <w:szCs w:val="32"/>
        </w:rPr>
      </w:pPr>
      <w:r>
        <w:rPr>
          <w:b/>
        </w:rPr>
        <w:br w:type="page"/>
      </w:r>
    </w:p>
    <w:p w14:paraId="2C086F39" w14:textId="77777777" w:rsidR="00B40EA8" w:rsidRPr="00EC7575" w:rsidRDefault="00AD62F0" w:rsidP="00AD62F0">
      <w:pPr>
        <w:pStyle w:val="Heading1"/>
        <w:rPr>
          <w:b/>
        </w:rPr>
      </w:pPr>
      <w:bookmarkStart w:id="3" w:name="_Toc428029656"/>
      <w:r w:rsidRPr="00EC7575">
        <w:rPr>
          <w:b/>
        </w:rPr>
        <w:lastRenderedPageBreak/>
        <w:t>Executive Summary</w:t>
      </w:r>
      <w:bookmarkEnd w:id="3"/>
    </w:p>
    <w:p w14:paraId="0C97A866" w14:textId="4242044D" w:rsidR="009E33CE" w:rsidRDefault="009E33CE" w:rsidP="009E33CE">
      <w:pPr>
        <w:spacing w:before="120"/>
        <w:rPr>
          <w:sz w:val="20"/>
          <w:szCs w:val="20"/>
        </w:rPr>
      </w:pPr>
      <w:r>
        <w:rPr>
          <w:sz w:val="20"/>
          <w:szCs w:val="20"/>
        </w:rPr>
        <w:t xml:space="preserve">This review was commissioned by Concern Worldwide, in collaboration with Nairobi County and Sub-County Health Management Teams, and supported financially by UNICEF Kenya. The review was prompted by concerns over the low coverage of nutrition services – specifically integrated management of acute malnutrition (IMAM) - in Nairobi’s informal settlements. </w:t>
      </w:r>
      <w:r w:rsidRPr="009E33CE">
        <w:rPr>
          <w:sz w:val="20"/>
          <w:szCs w:val="20"/>
        </w:rPr>
        <w:t>Coverage assessment reports for Nairobi repeatedly attribute low utilization to</w:t>
      </w:r>
      <w:r>
        <w:rPr>
          <w:sz w:val="20"/>
          <w:szCs w:val="20"/>
        </w:rPr>
        <w:t>,</w:t>
      </w:r>
      <w:r w:rsidRPr="009E33CE">
        <w:rPr>
          <w:sz w:val="20"/>
          <w:szCs w:val="20"/>
        </w:rPr>
        <w:t xml:space="preserve"> among other factors, competing tasks </w:t>
      </w:r>
      <w:r w:rsidR="00695340">
        <w:rPr>
          <w:sz w:val="20"/>
          <w:szCs w:val="20"/>
        </w:rPr>
        <w:t>of</w:t>
      </w:r>
      <w:r w:rsidRPr="009E33CE">
        <w:rPr>
          <w:sz w:val="20"/>
          <w:szCs w:val="20"/>
        </w:rPr>
        <w:t xml:space="preserve"> caregiver</w:t>
      </w:r>
      <w:r>
        <w:rPr>
          <w:sz w:val="20"/>
          <w:szCs w:val="20"/>
        </w:rPr>
        <w:t>s</w:t>
      </w:r>
      <w:r w:rsidRPr="009E33CE">
        <w:rPr>
          <w:sz w:val="20"/>
          <w:szCs w:val="20"/>
        </w:rPr>
        <w:t xml:space="preserve">.  Access to health and nutrition services is a challenge since very few public health providers serve </w:t>
      </w:r>
      <w:r w:rsidR="00695340">
        <w:rPr>
          <w:sz w:val="20"/>
          <w:szCs w:val="20"/>
        </w:rPr>
        <w:t>informal settlements</w:t>
      </w:r>
      <w:r w:rsidRPr="009E33CE">
        <w:rPr>
          <w:sz w:val="20"/>
          <w:szCs w:val="20"/>
        </w:rPr>
        <w:t xml:space="preserve">. Those that do, lack client oriented services to suit the </w:t>
      </w:r>
      <w:r>
        <w:rPr>
          <w:sz w:val="20"/>
          <w:szCs w:val="20"/>
        </w:rPr>
        <w:t xml:space="preserve">circumstances </w:t>
      </w:r>
      <w:r w:rsidRPr="009E33CE">
        <w:rPr>
          <w:sz w:val="20"/>
          <w:szCs w:val="20"/>
        </w:rPr>
        <w:t xml:space="preserve">of </w:t>
      </w:r>
      <w:r>
        <w:rPr>
          <w:sz w:val="20"/>
          <w:szCs w:val="20"/>
        </w:rPr>
        <w:t>informal settlement dwellers</w:t>
      </w:r>
      <w:r w:rsidRPr="009E33CE">
        <w:rPr>
          <w:sz w:val="20"/>
          <w:szCs w:val="20"/>
        </w:rPr>
        <w:t xml:space="preserve">. </w:t>
      </w:r>
      <w:r>
        <w:rPr>
          <w:sz w:val="20"/>
          <w:szCs w:val="20"/>
        </w:rPr>
        <w:t>County and</w:t>
      </w:r>
      <w:r w:rsidRPr="009E33CE">
        <w:rPr>
          <w:sz w:val="20"/>
          <w:szCs w:val="20"/>
        </w:rPr>
        <w:t xml:space="preserve"> Sub-County Health Management Teams </w:t>
      </w:r>
      <w:r>
        <w:rPr>
          <w:sz w:val="20"/>
          <w:szCs w:val="20"/>
        </w:rPr>
        <w:t xml:space="preserve">therefore </w:t>
      </w:r>
      <w:r w:rsidRPr="009E33CE">
        <w:rPr>
          <w:sz w:val="20"/>
          <w:szCs w:val="20"/>
        </w:rPr>
        <w:t xml:space="preserve">requested an in-depth </w:t>
      </w:r>
      <w:r w:rsidR="00C83111">
        <w:rPr>
          <w:sz w:val="20"/>
          <w:szCs w:val="20"/>
        </w:rPr>
        <w:t>review</w:t>
      </w:r>
      <w:r w:rsidRPr="009E33CE">
        <w:rPr>
          <w:sz w:val="20"/>
          <w:szCs w:val="20"/>
        </w:rPr>
        <w:t xml:space="preserve"> to identify barriers</w:t>
      </w:r>
      <w:r>
        <w:rPr>
          <w:sz w:val="20"/>
          <w:szCs w:val="20"/>
        </w:rPr>
        <w:t xml:space="preserve"> to the </w:t>
      </w:r>
      <w:proofErr w:type="spellStart"/>
      <w:r>
        <w:rPr>
          <w:sz w:val="20"/>
          <w:szCs w:val="20"/>
        </w:rPr>
        <w:t>utilisation</w:t>
      </w:r>
      <w:proofErr w:type="spellEnd"/>
      <w:r>
        <w:rPr>
          <w:sz w:val="20"/>
          <w:szCs w:val="20"/>
        </w:rPr>
        <w:t xml:space="preserve"> of maternal and child health </w:t>
      </w:r>
      <w:r w:rsidR="00695340">
        <w:rPr>
          <w:sz w:val="20"/>
          <w:szCs w:val="20"/>
        </w:rPr>
        <w:t xml:space="preserve">(MCH) </w:t>
      </w:r>
      <w:r>
        <w:rPr>
          <w:sz w:val="20"/>
          <w:szCs w:val="20"/>
        </w:rPr>
        <w:t xml:space="preserve">services. </w:t>
      </w:r>
    </w:p>
    <w:p w14:paraId="30351039" w14:textId="1D99754F" w:rsidR="00695340" w:rsidRDefault="00695340" w:rsidP="00695340">
      <w:pPr>
        <w:spacing w:before="120"/>
        <w:rPr>
          <w:sz w:val="20"/>
          <w:szCs w:val="20"/>
        </w:rPr>
      </w:pPr>
      <w:r>
        <w:rPr>
          <w:sz w:val="20"/>
          <w:szCs w:val="20"/>
        </w:rPr>
        <w:t>The review entailed k</w:t>
      </w:r>
      <w:r w:rsidRPr="00695340">
        <w:rPr>
          <w:sz w:val="20"/>
          <w:szCs w:val="20"/>
        </w:rPr>
        <w:t xml:space="preserve">ey informant interviews with County and </w:t>
      </w:r>
      <w:r>
        <w:rPr>
          <w:sz w:val="20"/>
          <w:szCs w:val="20"/>
        </w:rPr>
        <w:t>S</w:t>
      </w:r>
      <w:r w:rsidRPr="00695340">
        <w:rPr>
          <w:sz w:val="20"/>
          <w:szCs w:val="20"/>
        </w:rPr>
        <w:t>ub-County Health Management Team members</w:t>
      </w:r>
      <w:r w:rsidR="00C83111">
        <w:rPr>
          <w:sz w:val="20"/>
          <w:szCs w:val="20"/>
        </w:rPr>
        <w:t xml:space="preserve"> as well as</w:t>
      </w:r>
      <w:r>
        <w:rPr>
          <w:sz w:val="20"/>
          <w:szCs w:val="20"/>
        </w:rPr>
        <w:t xml:space="preserve"> </w:t>
      </w:r>
      <w:r w:rsidRPr="00695340">
        <w:rPr>
          <w:sz w:val="20"/>
          <w:szCs w:val="20"/>
        </w:rPr>
        <w:t xml:space="preserve">health workers </w:t>
      </w:r>
      <w:r w:rsidR="00C83111">
        <w:rPr>
          <w:sz w:val="20"/>
          <w:szCs w:val="20"/>
        </w:rPr>
        <w:t xml:space="preserve">and caretakers </w:t>
      </w:r>
      <w:r w:rsidRPr="00695340">
        <w:rPr>
          <w:sz w:val="20"/>
          <w:szCs w:val="20"/>
        </w:rPr>
        <w:t xml:space="preserve">in high volume public and faith-based </w:t>
      </w:r>
      <w:r w:rsidR="00227A93">
        <w:rPr>
          <w:sz w:val="20"/>
          <w:szCs w:val="20"/>
        </w:rPr>
        <w:t xml:space="preserve">and non-governmental </w:t>
      </w:r>
      <w:r w:rsidRPr="00695340">
        <w:rPr>
          <w:sz w:val="20"/>
          <w:szCs w:val="20"/>
        </w:rPr>
        <w:t>organisation (FBO</w:t>
      </w:r>
      <w:r w:rsidR="00227A93">
        <w:rPr>
          <w:sz w:val="20"/>
          <w:szCs w:val="20"/>
        </w:rPr>
        <w:t>/NGO</w:t>
      </w:r>
      <w:r w:rsidRPr="00695340">
        <w:rPr>
          <w:sz w:val="20"/>
          <w:szCs w:val="20"/>
        </w:rPr>
        <w:t xml:space="preserve">) </w:t>
      </w:r>
      <w:r w:rsidR="006E2801">
        <w:rPr>
          <w:sz w:val="20"/>
          <w:szCs w:val="20"/>
        </w:rPr>
        <w:t xml:space="preserve">supported </w:t>
      </w:r>
      <w:r w:rsidRPr="00695340">
        <w:rPr>
          <w:sz w:val="20"/>
          <w:szCs w:val="20"/>
        </w:rPr>
        <w:t>MCH clinics</w:t>
      </w:r>
      <w:r>
        <w:rPr>
          <w:sz w:val="20"/>
          <w:szCs w:val="20"/>
        </w:rPr>
        <w:t>, located</w:t>
      </w:r>
      <w:r w:rsidRPr="00695340">
        <w:rPr>
          <w:sz w:val="20"/>
          <w:szCs w:val="20"/>
        </w:rPr>
        <w:t xml:space="preserve"> within </w:t>
      </w:r>
      <w:r>
        <w:rPr>
          <w:sz w:val="20"/>
          <w:szCs w:val="20"/>
        </w:rPr>
        <w:t xml:space="preserve">and </w:t>
      </w:r>
      <w:r w:rsidRPr="00695340">
        <w:rPr>
          <w:sz w:val="20"/>
          <w:szCs w:val="20"/>
        </w:rPr>
        <w:t xml:space="preserve">on the periphery </w:t>
      </w:r>
      <w:r>
        <w:rPr>
          <w:sz w:val="20"/>
          <w:szCs w:val="20"/>
        </w:rPr>
        <w:t xml:space="preserve">of </w:t>
      </w:r>
      <w:r w:rsidRPr="00695340">
        <w:rPr>
          <w:sz w:val="20"/>
          <w:szCs w:val="20"/>
        </w:rPr>
        <w:t>informal settlement</w:t>
      </w:r>
      <w:r>
        <w:rPr>
          <w:sz w:val="20"/>
          <w:szCs w:val="20"/>
        </w:rPr>
        <w:t xml:space="preserve">s in eight sub counties: </w:t>
      </w:r>
      <w:proofErr w:type="spellStart"/>
      <w:r w:rsidRPr="00695340">
        <w:rPr>
          <w:sz w:val="20"/>
          <w:szCs w:val="20"/>
        </w:rPr>
        <w:t>Kamukunji</w:t>
      </w:r>
      <w:proofErr w:type="spellEnd"/>
      <w:r>
        <w:rPr>
          <w:sz w:val="20"/>
          <w:szCs w:val="20"/>
        </w:rPr>
        <w:t xml:space="preserve">, </w:t>
      </w:r>
      <w:proofErr w:type="spellStart"/>
      <w:r>
        <w:rPr>
          <w:sz w:val="20"/>
          <w:szCs w:val="20"/>
        </w:rPr>
        <w:t>Westlands</w:t>
      </w:r>
      <w:proofErr w:type="spellEnd"/>
      <w:r>
        <w:rPr>
          <w:sz w:val="20"/>
          <w:szCs w:val="20"/>
        </w:rPr>
        <w:t xml:space="preserve">, </w:t>
      </w:r>
      <w:proofErr w:type="spellStart"/>
      <w:r>
        <w:rPr>
          <w:sz w:val="20"/>
          <w:szCs w:val="20"/>
        </w:rPr>
        <w:t>Dagoreti</w:t>
      </w:r>
      <w:proofErr w:type="spellEnd"/>
      <w:r>
        <w:rPr>
          <w:sz w:val="20"/>
          <w:szCs w:val="20"/>
        </w:rPr>
        <w:t xml:space="preserve">, </w:t>
      </w:r>
      <w:proofErr w:type="spellStart"/>
      <w:r>
        <w:rPr>
          <w:sz w:val="20"/>
          <w:szCs w:val="20"/>
        </w:rPr>
        <w:t>Embakasi</w:t>
      </w:r>
      <w:proofErr w:type="spellEnd"/>
      <w:r>
        <w:rPr>
          <w:sz w:val="20"/>
          <w:szCs w:val="20"/>
        </w:rPr>
        <w:t xml:space="preserve">, </w:t>
      </w:r>
      <w:proofErr w:type="spellStart"/>
      <w:r>
        <w:rPr>
          <w:sz w:val="20"/>
          <w:szCs w:val="20"/>
        </w:rPr>
        <w:t>Makadara</w:t>
      </w:r>
      <w:proofErr w:type="spellEnd"/>
      <w:r>
        <w:rPr>
          <w:sz w:val="20"/>
          <w:szCs w:val="20"/>
        </w:rPr>
        <w:t xml:space="preserve">, </w:t>
      </w:r>
      <w:proofErr w:type="spellStart"/>
      <w:r>
        <w:rPr>
          <w:sz w:val="20"/>
          <w:szCs w:val="20"/>
        </w:rPr>
        <w:t>Kasarani</w:t>
      </w:r>
      <w:proofErr w:type="spellEnd"/>
      <w:r>
        <w:rPr>
          <w:sz w:val="20"/>
          <w:szCs w:val="20"/>
        </w:rPr>
        <w:t xml:space="preserve">, </w:t>
      </w:r>
      <w:proofErr w:type="spellStart"/>
      <w:r>
        <w:rPr>
          <w:sz w:val="20"/>
          <w:szCs w:val="20"/>
        </w:rPr>
        <w:t>Starehe</w:t>
      </w:r>
      <w:proofErr w:type="spellEnd"/>
      <w:r>
        <w:rPr>
          <w:sz w:val="20"/>
          <w:szCs w:val="20"/>
        </w:rPr>
        <w:t xml:space="preserve"> and </w:t>
      </w:r>
      <w:proofErr w:type="spellStart"/>
      <w:r>
        <w:rPr>
          <w:sz w:val="20"/>
          <w:szCs w:val="20"/>
        </w:rPr>
        <w:t>Ruaraka</w:t>
      </w:r>
      <w:proofErr w:type="spellEnd"/>
      <w:r>
        <w:rPr>
          <w:sz w:val="20"/>
          <w:szCs w:val="20"/>
        </w:rPr>
        <w:t xml:space="preserve">. </w:t>
      </w:r>
      <w:r w:rsidRPr="00695340">
        <w:rPr>
          <w:sz w:val="20"/>
          <w:szCs w:val="20"/>
        </w:rPr>
        <w:t xml:space="preserve">To understand the myriad barriers that exist in accessing health services, an analytical framework was employed. This </w:t>
      </w:r>
      <w:r w:rsidR="00C83111">
        <w:rPr>
          <w:sz w:val="20"/>
          <w:szCs w:val="20"/>
        </w:rPr>
        <w:t xml:space="preserve">framework </w:t>
      </w:r>
      <w:proofErr w:type="spellStart"/>
      <w:r w:rsidRPr="00695340">
        <w:rPr>
          <w:sz w:val="20"/>
          <w:szCs w:val="20"/>
        </w:rPr>
        <w:t>recognises</w:t>
      </w:r>
      <w:proofErr w:type="spellEnd"/>
      <w:r w:rsidRPr="00695340">
        <w:rPr>
          <w:sz w:val="20"/>
          <w:szCs w:val="20"/>
        </w:rPr>
        <w:t xml:space="preserve"> that barriers exist and interact on both the supply and demand side. Demand-side determinants are factors influencing the ability to use health services at individual, household or community level, while supply-side determinants are aspects inherent to the health system that hinder service uptake by individuals, households or the community. Barrier</w:t>
      </w:r>
      <w:r w:rsidR="00C83111">
        <w:rPr>
          <w:sz w:val="20"/>
          <w:szCs w:val="20"/>
        </w:rPr>
        <w:t>s</w:t>
      </w:r>
      <w:r w:rsidRPr="00695340">
        <w:rPr>
          <w:sz w:val="20"/>
          <w:szCs w:val="20"/>
        </w:rPr>
        <w:t xml:space="preserve"> included geographical access</w:t>
      </w:r>
      <w:r>
        <w:rPr>
          <w:sz w:val="20"/>
          <w:szCs w:val="20"/>
        </w:rPr>
        <w:t>;</w:t>
      </w:r>
      <w:r w:rsidRPr="00695340">
        <w:rPr>
          <w:sz w:val="20"/>
          <w:szCs w:val="20"/>
        </w:rPr>
        <w:t xml:space="preserve"> availability</w:t>
      </w:r>
      <w:r>
        <w:rPr>
          <w:sz w:val="20"/>
          <w:szCs w:val="20"/>
        </w:rPr>
        <w:t>;</w:t>
      </w:r>
      <w:r w:rsidRPr="00695340">
        <w:rPr>
          <w:sz w:val="20"/>
          <w:szCs w:val="20"/>
        </w:rPr>
        <w:t xml:space="preserve"> affordability</w:t>
      </w:r>
      <w:r>
        <w:rPr>
          <w:sz w:val="20"/>
          <w:szCs w:val="20"/>
        </w:rPr>
        <w:t>;</w:t>
      </w:r>
      <w:r w:rsidRPr="00695340">
        <w:rPr>
          <w:sz w:val="20"/>
          <w:szCs w:val="20"/>
        </w:rPr>
        <w:t xml:space="preserve"> and acceptability. </w:t>
      </w:r>
    </w:p>
    <w:p w14:paraId="200788F6" w14:textId="16BBA2BD" w:rsidR="00661163" w:rsidRDefault="00695340" w:rsidP="00695340">
      <w:pPr>
        <w:spacing w:before="120"/>
        <w:rPr>
          <w:sz w:val="20"/>
          <w:szCs w:val="20"/>
        </w:rPr>
      </w:pPr>
      <w:r w:rsidRPr="00695340">
        <w:rPr>
          <w:sz w:val="20"/>
          <w:szCs w:val="20"/>
        </w:rPr>
        <w:t>Findings were arranged by barrier</w:t>
      </w:r>
      <w:r>
        <w:rPr>
          <w:sz w:val="20"/>
          <w:szCs w:val="20"/>
        </w:rPr>
        <w:t xml:space="preserve"> as well as</w:t>
      </w:r>
      <w:r w:rsidRPr="00695340">
        <w:rPr>
          <w:sz w:val="20"/>
          <w:szCs w:val="20"/>
        </w:rPr>
        <w:t xml:space="preserve"> their supply- and demand-side orientation based on the analytical framework.  </w:t>
      </w:r>
      <w:r w:rsidR="00C463C9">
        <w:rPr>
          <w:sz w:val="20"/>
          <w:szCs w:val="20"/>
        </w:rPr>
        <w:t xml:space="preserve">Key supply-side barriers identified included inadequate health service infrastructure serving informal settlements and inconsistent quality resulting </w:t>
      </w:r>
      <w:r w:rsidR="006E2801">
        <w:rPr>
          <w:sz w:val="20"/>
          <w:szCs w:val="20"/>
        </w:rPr>
        <w:t xml:space="preserve">in </w:t>
      </w:r>
      <w:r w:rsidR="00C463C9">
        <w:rPr>
          <w:sz w:val="20"/>
          <w:szCs w:val="20"/>
        </w:rPr>
        <w:t xml:space="preserve">“erratic” </w:t>
      </w:r>
      <w:proofErr w:type="spellStart"/>
      <w:r w:rsidR="00C463C9">
        <w:rPr>
          <w:sz w:val="20"/>
          <w:szCs w:val="20"/>
        </w:rPr>
        <w:t>utilisation</w:t>
      </w:r>
      <w:proofErr w:type="spellEnd"/>
      <w:r w:rsidR="00C463C9">
        <w:rPr>
          <w:sz w:val="20"/>
          <w:szCs w:val="20"/>
        </w:rPr>
        <w:t xml:space="preserve"> of available facilities; relaxed opening hours in some facilities and concentrated periods during which services are offered in most facilities, with only a few facilities adhering to stipulated operating hours; long and multiple queues, a lack of triage, as well as short registration periods result</w:t>
      </w:r>
      <w:r w:rsidR="005E1915">
        <w:rPr>
          <w:sz w:val="20"/>
          <w:szCs w:val="20"/>
        </w:rPr>
        <w:t>ing</w:t>
      </w:r>
      <w:r w:rsidR="00C463C9">
        <w:rPr>
          <w:sz w:val="20"/>
          <w:szCs w:val="20"/>
        </w:rPr>
        <w:t xml:space="preserve"> in long waiting times and caretakers being sent away (or giving up); as well as inconsistent supply of nutrition human resources and commodities. On the demand side, </w:t>
      </w:r>
      <w:r w:rsidR="00661163">
        <w:rPr>
          <w:sz w:val="20"/>
          <w:szCs w:val="20"/>
        </w:rPr>
        <w:t xml:space="preserve">caretaker competing priorities </w:t>
      </w:r>
      <w:r w:rsidR="00C83111">
        <w:rPr>
          <w:sz w:val="20"/>
          <w:szCs w:val="20"/>
        </w:rPr>
        <w:t>were largely work-</w:t>
      </w:r>
      <w:r w:rsidR="00661163">
        <w:rPr>
          <w:sz w:val="20"/>
          <w:szCs w:val="20"/>
        </w:rPr>
        <w:t>related</w:t>
      </w:r>
      <w:r w:rsidR="00661163" w:rsidRPr="00661163">
        <w:rPr>
          <w:sz w:val="20"/>
          <w:szCs w:val="20"/>
        </w:rPr>
        <w:t xml:space="preserve">, whether this </w:t>
      </w:r>
      <w:r w:rsidR="00C83111">
        <w:rPr>
          <w:sz w:val="20"/>
          <w:szCs w:val="20"/>
        </w:rPr>
        <w:t>was through</w:t>
      </w:r>
      <w:r w:rsidR="00661163" w:rsidRPr="00661163">
        <w:rPr>
          <w:sz w:val="20"/>
          <w:szCs w:val="20"/>
        </w:rPr>
        <w:t xml:space="preserve"> casual, self-employ</w:t>
      </w:r>
      <w:r w:rsidR="005E1915">
        <w:rPr>
          <w:sz w:val="20"/>
          <w:szCs w:val="20"/>
        </w:rPr>
        <w:t>ment</w:t>
      </w:r>
      <w:r w:rsidR="00661163" w:rsidRPr="00661163">
        <w:rPr>
          <w:sz w:val="20"/>
          <w:szCs w:val="20"/>
        </w:rPr>
        <w:t xml:space="preserve"> or formal employment arrangements. In most instances, time taken to attend the MCH clinic, is done at the expense of an income for that day or the needs of the household, including other children.</w:t>
      </w:r>
      <w:r w:rsidR="00661163">
        <w:rPr>
          <w:sz w:val="20"/>
          <w:szCs w:val="20"/>
        </w:rPr>
        <w:t xml:space="preserve"> Caretakers also highlighted the lack of voice to effectively “negotiate” complex health service arrangements. The review confirmed that </w:t>
      </w:r>
      <w:r w:rsidR="00661163" w:rsidRPr="00661163">
        <w:rPr>
          <w:sz w:val="20"/>
          <w:szCs w:val="20"/>
        </w:rPr>
        <w:t>it is often the system itself which serves to limit an individual’s capacity to engage with it</w:t>
      </w:r>
      <w:r w:rsidR="00661163">
        <w:rPr>
          <w:sz w:val="20"/>
          <w:szCs w:val="20"/>
        </w:rPr>
        <w:t xml:space="preserve">. </w:t>
      </w:r>
    </w:p>
    <w:p w14:paraId="42F224C2" w14:textId="36A76907" w:rsidR="00661163" w:rsidRDefault="00661163" w:rsidP="00695340">
      <w:pPr>
        <w:spacing w:before="120"/>
        <w:rPr>
          <w:sz w:val="20"/>
          <w:szCs w:val="20"/>
        </w:rPr>
      </w:pPr>
      <w:r>
        <w:rPr>
          <w:sz w:val="20"/>
          <w:szCs w:val="20"/>
        </w:rPr>
        <w:t>Recommendations for consideration by the County and Sub-County Health Management Teams include the following:</w:t>
      </w:r>
    </w:p>
    <w:p w14:paraId="474614BF" w14:textId="1BFDE0FF" w:rsidR="00661163" w:rsidRDefault="00661163" w:rsidP="00661163">
      <w:pPr>
        <w:spacing w:before="120"/>
        <w:rPr>
          <w:sz w:val="20"/>
          <w:szCs w:val="20"/>
        </w:rPr>
      </w:pPr>
      <w:r w:rsidRPr="00420D96">
        <w:rPr>
          <w:rFonts w:eastAsiaTheme="majorEastAsia" w:cstheme="minorHAnsi"/>
          <w:sz w:val="20"/>
          <w:szCs w:val="20"/>
          <w:u w:val="single"/>
        </w:rPr>
        <w:t>Operating hours</w:t>
      </w:r>
      <w:r>
        <w:rPr>
          <w:rFonts w:eastAsiaTheme="majorEastAsia" w:cstheme="minorHAnsi"/>
          <w:sz w:val="20"/>
          <w:szCs w:val="20"/>
        </w:rPr>
        <w:t xml:space="preserve">: Whilst the Government of Kenya civil service handbook states that the official working hours are Monday to Friday from 8 am to 5 pm with one hour for lunch, the window for accessing health services </w:t>
      </w:r>
      <w:r w:rsidR="00C83111">
        <w:rPr>
          <w:rFonts w:eastAsiaTheme="majorEastAsia" w:cstheme="minorHAnsi"/>
          <w:sz w:val="20"/>
          <w:szCs w:val="20"/>
        </w:rPr>
        <w:t xml:space="preserve">in the majority of facilities visited </w:t>
      </w:r>
      <w:r>
        <w:rPr>
          <w:rFonts w:eastAsiaTheme="majorEastAsia" w:cstheme="minorHAnsi"/>
          <w:sz w:val="20"/>
          <w:szCs w:val="20"/>
        </w:rPr>
        <w:t xml:space="preserve">is much shorter than this. Clients have been conditioned to attend </w:t>
      </w:r>
      <w:proofErr w:type="spellStart"/>
      <w:r w:rsidRPr="00420D96">
        <w:rPr>
          <w:rFonts w:eastAsiaTheme="majorEastAsia" w:cstheme="minorHAnsi"/>
          <w:i/>
          <w:sz w:val="20"/>
          <w:szCs w:val="20"/>
        </w:rPr>
        <w:t>en</w:t>
      </w:r>
      <w:proofErr w:type="spellEnd"/>
      <w:r w:rsidRPr="00420D96">
        <w:rPr>
          <w:rFonts w:eastAsiaTheme="majorEastAsia" w:cstheme="minorHAnsi"/>
          <w:i/>
          <w:sz w:val="20"/>
          <w:szCs w:val="20"/>
        </w:rPr>
        <w:t xml:space="preserve"> masse</w:t>
      </w:r>
      <w:r>
        <w:rPr>
          <w:rFonts w:eastAsiaTheme="majorEastAsia" w:cstheme="minorHAnsi"/>
          <w:sz w:val="20"/>
          <w:szCs w:val="20"/>
        </w:rPr>
        <w:t xml:space="preserve"> with resultant long queues for MCH services. It is therefore recommended that health facilities are “reconditioned” to provide services in a timely manner starting at 8 am and continuing through to 5 pm. This would need to be done in conjunction with community sensitization so that caretakers are made aware of the longer hours and can plan accordingly.  It is further recommended to trial Saturday morning MCH clinic hours</w:t>
      </w:r>
      <w:r w:rsidR="00C83111">
        <w:rPr>
          <w:rFonts w:eastAsiaTheme="majorEastAsia" w:cstheme="minorHAnsi"/>
          <w:sz w:val="20"/>
          <w:szCs w:val="20"/>
        </w:rPr>
        <w:t xml:space="preserve"> in selected high volume facilities</w:t>
      </w:r>
      <w:r>
        <w:rPr>
          <w:rFonts w:eastAsiaTheme="majorEastAsia" w:cstheme="minorHAnsi"/>
          <w:sz w:val="20"/>
          <w:szCs w:val="20"/>
        </w:rPr>
        <w:t xml:space="preserve">. This does not require a policy change, as some health workers have </w:t>
      </w:r>
      <w:proofErr w:type="gramStart"/>
      <w:r>
        <w:rPr>
          <w:rFonts w:eastAsiaTheme="majorEastAsia" w:cstheme="minorHAnsi"/>
          <w:sz w:val="20"/>
          <w:szCs w:val="20"/>
        </w:rPr>
        <w:t>alluded</w:t>
      </w:r>
      <w:proofErr w:type="gramEnd"/>
      <w:r>
        <w:rPr>
          <w:rFonts w:eastAsiaTheme="majorEastAsia" w:cstheme="minorHAnsi"/>
          <w:sz w:val="20"/>
          <w:szCs w:val="20"/>
        </w:rPr>
        <w:t xml:space="preserve">, but rather management intervention. </w:t>
      </w:r>
    </w:p>
    <w:p w14:paraId="6696D0C8" w14:textId="451EA5AA" w:rsidR="00661163" w:rsidRDefault="00661163" w:rsidP="00661163">
      <w:pPr>
        <w:spacing w:before="120"/>
        <w:rPr>
          <w:sz w:val="20"/>
          <w:szCs w:val="20"/>
        </w:rPr>
      </w:pPr>
      <w:r>
        <w:rPr>
          <w:sz w:val="20"/>
          <w:szCs w:val="20"/>
          <w:u w:val="single"/>
        </w:rPr>
        <w:t>Service reorientation and integration</w:t>
      </w:r>
      <w:r w:rsidRPr="00076148">
        <w:rPr>
          <w:sz w:val="20"/>
          <w:szCs w:val="20"/>
        </w:rPr>
        <w:t xml:space="preserve">: </w:t>
      </w:r>
      <w:r>
        <w:rPr>
          <w:sz w:val="20"/>
          <w:szCs w:val="20"/>
        </w:rPr>
        <w:t xml:space="preserve">As recommended by some Sub-County </w:t>
      </w:r>
      <w:r w:rsidR="00C83111">
        <w:rPr>
          <w:sz w:val="20"/>
          <w:szCs w:val="20"/>
        </w:rPr>
        <w:t>Medical Officers</w:t>
      </w:r>
      <w:r>
        <w:rPr>
          <w:sz w:val="20"/>
          <w:szCs w:val="20"/>
        </w:rPr>
        <w:t>, nutrition should be a “w</w:t>
      </w:r>
      <w:r w:rsidRPr="00076148">
        <w:rPr>
          <w:sz w:val="20"/>
          <w:szCs w:val="20"/>
        </w:rPr>
        <w:t>hole site</w:t>
      </w:r>
      <w:r>
        <w:rPr>
          <w:sz w:val="20"/>
          <w:szCs w:val="20"/>
        </w:rPr>
        <w:t xml:space="preserve">” effort, reinforced at all </w:t>
      </w:r>
      <w:r w:rsidRPr="00CD42FA">
        <w:rPr>
          <w:sz w:val="20"/>
          <w:szCs w:val="20"/>
        </w:rPr>
        <w:t xml:space="preserve">service contact points with referrals managed in a timely manner for those requiring treatment. This would serve to reorient health services to the promotion of </w:t>
      </w:r>
      <w:r w:rsidRPr="00CD42FA">
        <w:rPr>
          <w:i/>
          <w:sz w:val="20"/>
          <w:szCs w:val="20"/>
        </w:rPr>
        <w:t>good nutrition</w:t>
      </w:r>
      <w:r w:rsidRPr="00CD42FA">
        <w:rPr>
          <w:sz w:val="20"/>
          <w:szCs w:val="20"/>
        </w:rPr>
        <w:t xml:space="preserve">, from their current orientation of </w:t>
      </w:r>
      <w:r w:rsidRPr="00CD42FA">
        <w:rPr>
          <w:i/>
          <w:sz w:val="20"/>
          <w:szCs w:val="20"/>
        </w:rPr>
        <w:t>treating malnutrition</w:t>
      </w:r>
      <w:r w:rsidRPr="00CD42FA">
        <w:rPr>
          <w:sz w:val="20"/>
          <w:szCs w:val="20"/>
        </w:rPr>
        <w:t xml:space="preserve"> (i.e. a curative focus). This would imply that health workers have the requisite skills to provide nutrition information</w:t>
      </w:r>
      <w:r>
        <w:rPr>
          <w:sz w:val="20"/>
          <w:szCs w:val="20"/>
        </w:rPr>
        <w:t xml:space="preserve"> and counselling, tailored to the needs of the client. Reconfiguration of MCH services is also recommended so that caretakers, and their children, do not have to queue for each MCH service but, rather, can access a constellation of related services as a form of “one stop shop”. This would serve to reduce waiting times and improve client experience</w:t>
      </w:r>
      <w:r w:rsidR="004B5FA2">
        <w:rPr>
          <w:sz w:val="20"/>
          <w:szCs w:val="20"/>
        </w:rPr>
        <w:t>; furthermore, w</w:t>
      </w:r>
      <w:r w:rsidR="00C83111">
        <w:rPr>
          <w:sz w:val="20"/>
          <w:szCs w:val="20"/>
        </w:rPr>
        <w:t xml:space="preserve">hile services are delivered on a first come, first </w:t>
      </w:r>
      <w:r w:rsidR="00C83111">
        <w:rPr>
          <w:sz w:val="20"/>
          <w:szCs w:val="20"/>
        </w:rPr>
        <w:lastRenderedPageBreak/>
        <w:t xml:space="preserve">serve basis, it is recommended that severely ill children are given priority. </w:t>
      </w:r>
      <w:r>
        <w:rPr>
          <w:sz w:val="20"/>
          <w:szCs w:val="20"/>
        </w:rPr>
        <w:t xml:space="preserve">Greater integration could also extend to the private sector, given their proliferation in informal settlements, as sites for promoting good nutrition and referring children who require treatment services.  </w:t>
      </w:r>
    </w:p>
    <w:p w14:paraId="42D469FD" w14:textId="75C36DFD" w:rsidR="00661163" w:rsidRDefault="00661163" w:rsidP="00661163">
      <w:pPr>
        <w:spacing w:before="120"/>
        <w:rPr>
          <w:sz w:val="20"/>
          <w:szCs w:val="20"/>
        </w:rPr>
      </w:pPr>
      <w:r w:rsidRPr="00076148">
        <w:rPr>
          <w:sz w:val="20"/>
          <w:szCs w:val="20"/>
          <w:u w:val="single"/>
        </w:rPr>
        <w:t>Client voice and accountability</w:t>
      </w:r>
      <w:r>
        <w:rPr>
          <w:sz w:val="20"/>
          <w:szCs w:val="20"/>
        </w:rPr>
        <w:t xml:space="preserve">: Caretakers welcomed the opportunity to be heard and to voice their views, both positive and negative, about their client experience. This form of feedback, if captured in real time and fed back into the health system has the potential to improve the responsiveness of service delivery. Positive feedback should be </w:t>
      </w:r>
      <w:proofErr w:type="spellStart"/>
      <w:r>
        <w:rPr>
          <w:sz w:val="20"/>
          <w:szCs w:val="20"/>
        </w:rPr>
        <w:t>recognised</w:t>
      </w:r>
      <w:proofErr w:type="spellEnd"/>
      <w:r>
        <w:rPr>
          <w:sz w:val="20"/>
          <w:szCs w:val="20"/>
        </w:rPr>
        <w:t xml:space="preserve"> and rewarded (where feasible) while remedial measures </w:t>
      </w:r>
      <w:r w:rsidRPr="00CD42FA">
        <w:rPr>
          <w:sz w:val="20"/>
          <w:szCs w:val="20"/>
        </w:rPr>
        <w:t xml:space="preserve">should be taken to address sub-optimal performance. This should look at both facility as well as individual performance. The review uncovered outstanding performance – </w:t>
      </w:r>
      <w:proofErr w:type="spellStart"/>
      <w:r w:rsidRPr="00CD42FA">
        <w:rPr>
          <w:sz w:val="20"/>
          <w:szCs w:val="20"/>
        </w:rPr>
        <w:t>recognised</w:t>
      </w:r>
      <w:proofErr w:type="spellEnd"/>
      <w:r w:rsidRPr="00CD42FA">
        <w:rPr>
          <w:sz w:val="20"/>
          <w:szCs w:val="20"/>
        </w:rPr>
        <w:t xml:space="preserve"> as such by caretakers – but “invisible” in the health system. Greater understanding of what motivates and drives high performance should be sought so that these behaviours can be emulated.</w:t>
      </w:r>
      <w:r>
        <w:rPr>
          <w:sz w:val="20"/>
          <w:szCs w:val="20"/>
        </w:rPr>
        <w:t xml:space="preserve"> </w:t>
      </w:r>
    </w:p>
    <w:p w14:paraId="69F2E6E0" w14:textId="6B07DCE9" w:rsidR="00661163" w:rsidRDefault="00661163" w:rsidP="00661163">
      <w:pPr>
        <w:spacing w:before="120"/>
        <w:rPr>
          <w:sz w:val="20"/>
          <w:szCs w:val="20"/>
        </w:rPr>
      </w:pPr>
      <w:r w:rsidRPr="00BE6FA3">
        <w:rPr>
          <w:sz w:val="20"/>
          <w:szCs w:val="20"/>
          <w:u w:val="single"/>
        </w:rPr>
        <w:t xml:space="preserve">Community </w:t>
      </w:r>
      <w:r>
        <w:rPr>
          <w:sz w:val="20"/>
          <w:szCs w:val="20"/>
          <w:u w:val="single"/>
        </w:rPr>
        <w:t>engagement</w:t>
      </w:r>
      <w:r>
        <w:rPr>
          <w:sz w:val="20"/>
          <w:szCs w:val="20"/>
        </w:rPr>
        <w:t xml:space="preserve">: Greater awareness, sensitization and linkages with the community </w:t>
      </w:r>
      <w:proofErr w:type="gramStart"/>
      <w:r>
        <w:rPr>
          <w:sz w:val="20"/>
          <w:szCs w:val="20"/>
        </w:rPr>
        <w:t>is</w:t>
      </w:r>
      <w:proofErr w:type="gramEnd"/>
      <w:r>
        <w:rPr>
          <w:sz w:val="20"/>
          <w:szCs w:val="20"/>
        </w:rPr>
        <w:t xml:space="preserve"> also required. This presupposes functional </w:t>
      </w:r>
      <w:r w:rsidR="00CD42FA">
        <w:rPr>
          <w:sz w:val="20"/>
          <w:szCs w:val="20"/>
        </w:rPr>
        <w:t>community units</w:t>
      </w:r>
      <w:r>
        <w:rPr>
          <w:sz w:val="20"/>
          <w:szCs w:val="20"/>
        </w:rPr>
        <w:t xml:space="preserve"> a</w:t>
      </w:r>
      <w:r w:rsidR="006E2801">
        <w:rPr>
          <w:sz w:val="20"/>
          <w:szCs w:val="20"/>
        </w:rPr>
        <w:t>s</w:t>
      </w:r>
      <w:r>
        <w:rPr>
          <w:sz w:val="20"/>
          <w:szCs w:val="20"/>
        </w:rPr>
        <w:t xml:space="preserve"> well as greater multi-sectoral engagement – with specific attention to employers as well as the day cares that women rely upon to participate in the </w:t>
      </w:r>
      <w:proofErr w:type="spellStart"/>
      <w:r>
        <w:rPr>
          <w:sz w:val="20"/>
          <w:szCs w:val="20"/>
        </w:rPr>
        <w:t>labour</w:t>
      </w:r>
      <w:proofErr w:type="spellEnd"/>
      <w:r>
        <w:rPr>
          <w:sz w:val="20"/>
          <w:szCs w:val="20"/>
        </w:rPr>
        <w:t xml:space="preserve"> market. A critical factor to community </w:t>
      </w:r>
      <w:proofErr w:type="gramStart"/>
      <w:r>
        <w:rPr>
          <w:sz w:val="20"/>
          <w:szCs w:val="20"/>
        </w:rPr>
        <w:t>engagement,</w:t>
      </w:r>
      <w:proofErr w:type="gramEnd"/>
      <w:r>
        <w:rPr>
          <w:sz w:val="20"/>
          <w:szCs w:val="20"/>
        </w:rPr>
        <w:t xml:space="preserve"> is </w:t>
      </w:r>
      <w:r w:rsidR="00CD42FA">
        <w:rPr>
          <w:sz w:val="20"/>
          <w:szCs w:val="20"/>
        </w:rPr>
        <w:t>Community Health Volunteer (</w:t>
      </w:r>
      <w:r>
        <w:rPr>
          <w:sz w:val="20"/>
          <w:szCs w:val="20"/>
        </w:rPr>
        <w:t>CHV</w:t>
      </w:r>
      <w:r w:rsidR="00CD42FA">
        <w:rPr>
          <w:sz w:val="20"/>
          <w:szCs w:val="20"/>
        </w:rPr>
        <w:t>)</w:t>
      </w:r>
      <w:r>
        <w:rPr>
          <w:sz w:val="20"/>
          <w:szCs w:val="20"/>
        </w:rPr>
        <w:t xml:space="preserve"> motivation and incentives.  In all health facilities, attrition of CHVs was extremely high, a lost resource to the community and health system. To redress this, introducing a basic stipend for the most active CHVs and ensuring that </w:t>
      </w:r>
      <w:proofErr w:type="gramStart"/>
      <w:r>
        <w:rPr>
          <w:sz w:val="20"/>
          <w:szCs w:val="20"/>
        </w:rPr>
        <w:t>this group have</w:t>
      </w:r>
      <w:proofErr w:type="gramEnd"/>
      <w:r>
        <w:rPr>
          <w:sz w:val="20"/>
          <w:szCs w:val="20"/>
        </w:rPr>
        <w:t xml:space="preserve"> adequate capacity and support to </w:t>
      </w:r>
      <w:r w:rsidR="004B5FA2">
        <w:rPr>
          <w:sz w:val="20"/>
          <w:szCs w:val="20"/>
        </w:rPr>
        <w:t>promote maternal, infant and young child nutrition</w:t>
      </w:r>
      <w:r>
        <w:rPr>
          <w:sz w:val="20"/>
          <w:szCs w:val="20"/>
        </w:rPr>
        <w:t xml:space="preserve"> is suggested. In addition, sensitization of employers on health rights and access to health services should also be prioritized. Again, positive employer behaviours (e.g. those </w:t>
      </w:r>
      <w:r w:rsidR="004B5FA2">
        <w:rPr>
          <w:sz w:val="20"/>
          <w:szCs w:val="20"/>
        </w:rPr>
        <w:t>employers</w:t>
      </w:r>
      <w:r>
        <w:rPr>
          <w:sz w:val="20"/>
          <w:szCs w:val="20"/>
        </w:rPr>
        <w:t xml:space="preserve"> allowing caretakers to attend MCH services with pay) should be identified and </w:t>
      </w:r>
      <w:proofErr w:type="spellStart"/>
      <w:r>
        <w:rPr>
          <w:sz w:val="20"/>
          <w:szCs w:val="20"/>
        </w:rPr>
        <w:t>recognised</w:t>
      </w:r>
      <w:proofErr w:type="spellEnd"/>
      <w:r>
        <w:rPr>
          <w:sz w:val="20"/>
          <w:szCs w:val="20"/>
        </w:rPr>
        <w:t xml:space="preserve"> so that they can be emulated in the sector. Greater engagement would facilitate improved health seeking behaviours and prevention by addressing some of the underlying causes of malnutrition in urban informal settlements.  </w:t>
      </w:r>
    </w:p>
    <w:p w14:paraId="0B25E16F" w14:textId="77777777" w:rsidR="00661163" w:rsidRDefault="00661163" w:rsidP="00695340">
      <w:pPr>
        <w:spacing w:before="120"/>
        <w:rPr>
          <w:sz w:val="20"/>
          <w:szCs w:val="20"/>
        </w:rPr>
      </w:pPr>
    </w:p>
    <w:p w14:paraId="43A23C73" w14:textId="5C1DFCAA" w:rsidR="00695340" w:rsidRPr="00695340" w:rsidRDefault="00661163" w:rsidP="00695340">
      <w:pPr>
        <w:spacing w:before="120"/>
        <w:rPr>
          <w:sz w:val="20"/>
          <w:szCs w:val="20"/>
        </w:rPr>
      </w:pPr>
      <w:r>
        <w:rPr>
          <w:sz w:val="20"/>
          <w:szCs w:val="20"/>
        </w:rPr>
        <w:t xml:space="preserve"> </w:t>
      </w:r>
    </w:p>
    <w:p w14:paraId="65F5F8E1" w14:textId="2559B5D7" w:rsidR="00695340" w:rsidRDefault="00695340">
      <w:pPr>
        <w:rPr>
          <w:sz w:val="20"/>
          <w:szCs w:val="20"/>
        </w:rPr>
      </w:pPr>
      <w:r>
        <w:rPr>
          <w:sz w:val="20"/>
          <w:szCs w:val="20"/>
        </w:rPr>
        <w:br w:type="page"/>
      </w:r>
    </w:p>
    <w:p w14:paraId="38F8AE12" w14:textId="50C31657" w:rsidR="00AD62F0" w:rsidRPr="00EC7575" w:rsidRDefault="00AD62F0" w:rsidP="00E8411E">
      <w:pPr>
        <w:pStyle w:val="Heading1"/>
        <w:numPr>
          <w:ilvl w:val="0"/>
          <w:numId w:val="11"/>
        </w:numPr>
        <w:rPr>
          <w:b/>
        </w:rPr>
      </w:pPr>
      <w:bookmarkStart w:id="4" w:name="_Toc428029657"/>
      <w:r w:rsidRPr="00EC7575">
        <w:rPr>
          <w:b/>
        </w:rPr>
        <w:lastRenderedPageBreak/>
        <w:t>Introduction</w:t>
      </w:r>
      <w:bookmarkEnd w:id="4"/>
    </w:p>
    <w:p w14:paraId="373AC261" w14:textId="5EB4F191" w:rsidR="004C0896" w:rsidRDefault="009F0219" w:rsidP="00AD62F0">
      <w:pPr>
        <w:spacing w:before="120"/>
        <w:rPr>
          <w:sz w:val="20"/>
          <w:szCs w:val="20"/>
        </w:rPr>
      </w:pPr>
      <w:r>
        <w:rPr>
          <w:sz w:val="20"/>
          <w:szCs w:val="20"/>
        </w:rPr>
        <w:t xml:space="preserve">This review was commissioned by Concern Worldwide in collaboration with Nairobi County and Sub-County Health Management Teams. Concern Worldwide, a long standing partner of the Ministry of Health, has been supporting the delivery of maternal and child health (MCH) services in Nairobi County </w:t>
      </w:r>
      <w:r w:rsidRPr="002727F2">
        <w:rPr>
          <w:sz w:val="20"/>
          <w:szCs w:val="20"/>
        </w:rPr>
        <w:t xml:space="preserve">since </w:t>
      </w:r>
      <w:r w:rsidR="006B113D" w:rsidRPr="002727F2">
        <w:rPr>
          <w:sz w:val="20"/>
          <w:szCs w:val="20"/>
        </w:rPr>
        <w:t>2008</w:t>
      </w:r>
      <w:r w:rsidRPr="002727F2">
        <w:rPr>
          <w:sz w:val="20"/>
          <w:szCs w:val="20"/>
        </w:rPr>
        <w:t xml:space="preserve"> with specific attention to the neglected issue of malnutrition found in the urban informal settlements.  </w:t>
      </w:r>
      <w:r w:rsidR="004C0896" w:rsidRPr="002727F2">
        <w:rPr>
          <w:sz w:val="20"/>
          <w:szCs w:val="20"/>
        </w:rPr>
        <w:t xml:space="preserve">Concern Worldwide </w:t>
      </w:r>
      <w:r w:rsidR="002727F2" w:rsidRPr="002727F2">
        <w:rPr>
          <w:sz w:val="20"/>
          <w:szCs w:val="20"/>
        </w:rPr>
        <w:t xml:space="preserve">has noted </w:t>
      </w:r>
      <w:r w:rsidR="004C0896" w:rsidRPr="002727F2">
        <w:rPr>
          <w:sz w:val="20"/>
          <w:szCs w:val="20"/>
        </w:rPr>
        <w:t>that, s</w:t>
      </w:r>
      <w:r w:rsidR="00AD62F0" w:rsidRPr="002727F2">
        <w:rPr>
          <w:sz w:val="20"/>
          <w:szCs w:val="20"/>
        </w:rPr>
        <w:t>ince 2012</w:t>
      </w:r>
      <w:r w:rsidR="004C0896" w:rsidRPr="002727F2">
        <w:rPr>
          <w:sz w:val="20"/>
          <w:szCs w:val="20"/>
        </w:rPr>
        <w:t xml:space="preserve"> when </w:t>
      </w:r>
      <w:r w:rsidR="009E33CE" w:rsidRPr="002727F2">
        <w:rPr>
          <w:sz w:val="20"/>
          <w:szCs w:val="20"/>
        </w:rPr>
        <w:t>IMAM</w:t>
      </w:r>
      <w:r w:rsidR="004C0896" w:rsidRPr="002727F2">
        <w:rPr>
          <w:sz w:val="20"/>
          <w:szCs w:val="20"/>
        </w:rPr>
        <w:t xml:space="preserve"> services were scaled up,</w:t>
      </w:r>
      <w:r w:rsidR="00AD62F0" w:rsidRPr="002727F2">
        <w:rPr>
          <w:sz w:val="20"/>
          <w:szCs w:val="20"/>
        </w:rPr>
        <w:t xml:space="preserve"> coverage </w:t>
      </w:r>
      <w:r w:rsidR="004C0896" w:rsidRPr="002727F2">
        <w:rPr>
          <w:sz w:val="20"/>
          <w:szCs w:val="20"/>
        </w:rPr>
        <w:t>of these has</w:t>
      </w:r>
      <w:r w:rsidR="00AD62F0" w:rsidRPr="002727F2">
        <w:rPr>
          <w:sz w:val="20"/>
          <w:szCs w:val="20"/>
        </w:rPr>
        <w:t xml:space="preserve"> remained below 7</w:t>
      </w:r>
      <w:r w:rsidR="00645AC2">
        <w:rPr>
          <w:sz w:val="20"/>
          <w:szCs w:val="20"/>
        </w:rPr>
        <w:t>0</w:t>
      </w:r>
      <w:r w:rsidR="00AD62F0" w:rsidRPr="002727F2">
        <w:rPr>
          <w:sz w:val="20"/>
          <w:szCs w:val="20"/>
        </w:rPr>
        <w:t>%, the Sphere standard for urban settings.</w:t>
      </w:r>
      <w:r w:rsidR="00AD62F0" w:rsidRPr="00AD62F0">
        <w:rPr>
          <w:sz w:val="20"/>
          <w:szCs w:val="20"/>
        </w:rPr>
        <w:t xml:space="preserve"> </w:t>
      </w:r>
    </w:p>
    <w:p w14:paraId="643FD4E9" w14:textId="77777777" w:rsidR="00AD62F0" w:rsidRPr="00AD62F0" w:rsidRDefault="00AD62F0" w:rsidP="00AD62F0">
      <w:pPr>
        <w:spacing w:before="120"/>
        <w:rPr>
          <w:sz w:val="20"/>
          <w:szCs w:val="20"/>
        </w:rPr>
      </w:pPr>
      <w:r w:rsidRPr="00AD62F0">
        <w:rPr>
          <w:sz w:val="20"/>
          <w:szCs w:val="20"/>
        </w:rPr>
        <w:t>Coverage assessment reports for Nairobi repeatedly attribute low utilization of nutrition services to</w:t>
      </w:r>
      <w:r w:rsidR="001D2CB4">
        <w:rPr>
          <w:sz w:val="20"/>
          <w:szCs w:val="20"/>
        </w:rPr>
        <w:t xml:space="preserve"> among other factors,</w:t>
      </w:r>
      <w:r w:rsidRPr="00AD62F0">
        <w:rPr>
          <w:sz w:val="20"/>
          <w:szCs w:val="20"/>
        </w:rPr>
        <w:t xml:space="preserve"> competing tasks by the mother/caregiver.  Access to health and nutrition services is a challenge since very few public health providers serve urban slum residents. Those that do, lack client oriented services to suit the living conditions of the most vulnerable.  While delibe</w:t>
      </w:r>
      <w:r w:rsidR="00613618">
        <w:rPr>
          <w:sz w:val="20"/>
          <w:szCs w:val="20"/>
        </w:rPr>
        <w:t xml:space="preserve">rating on barriers to access to </w:t>
      </w:r>
      <w:r w:rsidRPr="00AD62F0">
        <w:rPr>
          <w:sz w:val="20"/>
          <w:szCs w:val="20"/>
        </w:rPr>
        <w:t xml:space="preserve">nutrition services in coordination meetings, the </w:t>
      </w:r>
      <w:r w:rsidR="004C0896">
        <w:rPr>
          <w:sz w:val="20"/>
          <w:szCs w:val="20"/>
        </w:rPr>
        <w:t>Sub-County Health Management Teams (</w:t>
      </w:r>
      <w:r w:rsidRPr="00AD62F0">
        <w:rPr>
          <w:sz w:val="20"/>
          <w:szCs w:val="20"/>
        </w:rPr>
        <w:t>SCHMT</w:t>
      </w:r>
      <w:r w:rsidR="004C0896">
        <w:rPr>
          <w:sz w:val="20"/>
          <w:szCs w:val="20"/>
        </w:rPr>
        <w:t>s)</w:t>
      </w:r>
      <w:r w:rsidRPr="00AD62F0">
        <w:rPr>
          <w:sz w:val="20"/>
          <w:szCs w:val="20"/>
        </w:rPr>
        <w:t xml:space="preserve"> and </w:t>
      </w:r>
      <w:r w:rsidR="004C0896">
        <w:rPr>
          <w:sz w:val="20"/>
          <w:szCs w:val="20"/>
        </w:rPr>
        <w:t>County Health Management Team (</w:t>
      </w:r>
      <w:r w:rsidRPr="00AD62F0">
        <w:rPr>
          <w:sz w:val="20"/>
          <w:szCs w:val="20"/>
        </w:rPr>
        <w:t>CHMT</w:t>
      </w:r>
      <w:r w:rsidR="004C0896">
        <w:rPr>
          <w:sz w:val="20"/>
          <w:szCs w:val="20"/>
        </w:rPr>
        <w:t>) requested an</w:t>
      </w:r>
      <w:r w:rsidRPr="00AD62F0">
        <w:rPr>
          <w:sz w:val="20"/>
          <w:szCs w:val="20"/>
        </w:rPr>
        <w:t xml:space="preserve"> in-depth analysis to identify and address barriers. </w:t>
      </w:r>
      <w:r w:rsidR="004C0896">
        <w:rPr>
          <w:sz w:val="20"/>
          <w:szCs w:val="20"/>
        </w:rPr>
        <w:t xml:space="preserve">This review has been undertaken to serve this purpose. </w:t>
      </w:r>
    </w:p>
    <w:p w14:paraId="7FD7C808" w14:textId="77777777" w:rsidR="00AD62F0" w:rsidRPr="00EC7575" w:rsidRDefault="00AD62F0" w:rsidP="00E8411E">
      <w:pPr>
        <w:pStyle w:val="Heading1"/>
        <w:numPr>
          <w:ilvl w:val="0"/>
          <w:numId w:val="11"/>
        </w:numPr>
        <w:rPr>
          <w:b/>
        </w:rPr>
      </w:pPr>
      <w:bookmarkStart w:id="5" w:name="_Toc428029658"/>
      <w:r w:rsidRPr="00EC7575">
        <w:rPr>
          <w:b/>
        </w:rPr>
        <w:t>Methodology</w:t>
      </w:r>
      <w:bookmarkEnd w:id="5"/>
    </w:p>
    <w:p w14:paraId="1421CF7F" w14:textId="77777777" w:rsidR="00AD62F0" w:rsidRPr="00AD62F0" w:rsidRDefault="00AD62F0" w:rsidP="00755FA0">
      <w:pPr>
        <w:spacing w:before="120" w:after="120"/>
        <w:rPr>
          <w:sz w:val="20"/>
          <w:szCs w:val="20"/>
        </w:rPr>
      </w:pPr>
      <w:r w:rsidRPr="00AD62F0">
        <w:rPr>
          <w:sz w:val="20"/>
          <w:szCs w:val="20"/>
        </w:rPr>
        <w:t>The review of MCH clinic</w:t>
      </w:r>
      <w:r w:rsidR="00AA1643">
        <w:rPr>
          <w:sz w:val="20"/>
          <w:szCs w:val="20"/>
        </w:rPr>
        <w:t>s</w:t>
      </w:r>
      <w:r w:rsidR="00613618">
        <w:rPr>
          <w:sz w:val="20"/>
          <w:szCs w:val="20"/>
        </w:rPr>
        <w:t xml:space="preserve">, with specific attention to </w:t>
      </w:r>
      <w:proofErr w:type="spellStart"/>
      <w:r w:rsidR="00613618" w:rsidRPr="002727F2">
        <w:rPr>
          <w:sz w:val="20"/>
          <w:szCs w:val="20"/>
        </w:rPr>
        <w:t>utilisation</w:t>
      </w:r>
      <w:proofErr w:type="spellEnd"/>
      <w:r w:rsidR="00613618" w:rsidRPr="002727F2">
        <w:rPr>
          <w:sz w:val="20"/>
          <w:szCs w:val="20"/>
        </w:rPr>
        <w:t xml:space="preserve"> of </w:t>
      </w:r>
      <w:r w:rsidR="003762E3" w:rsidRPr="002727F2">
        <w:rPr>
          <w:sz w:val="20"/>
          <w:szCs w:val="20"/>
        </w:rPr>
        <w:t xml:space="preserve">nutrition </w:t>
      </w:r>
      <w:r w:rsidR="00613618" w:rsidRPr="002727F2">
        <w:rPr>
          <w:sz w:val="20"/>
          <w:szCs w:val="20"/>
        </w:rPr>
        <w:t>services,</w:t>
      </w:r>
      <w:r w:rsidRPr="002727F2">
        <w:rPr>
          <w:sz w:val="20"/>
          <w:szCs w:val="20"/>
        </w:rPr>
        <w:t xml:space="preserve"> employ</w:t>
      </w:r>
      <w:r w:rsidR="00CE11D0" w:rsidRPr="002727F2">
        <w:rPr>
          <w:sz w:val="20"/>
          <w:szCs w:val="20"/>
        </w:rPr>
        <w:t>ed</w:t>
      </w:r>
      <w:r w:rsidRPr="002727F2">
        <w:rPr>
          <w:sz w:val="20"/>
          <w:szCs w:val="20"/>
        </w:rPr>
        <w:t xml:space="preserve"> a mixed method design. This include</w:t>
      </w:r>
      <w:r w:rsidR="00CE11D0" w:rsidRPr="002727F2">
        <w:rPr>
          <w:sz w:val="20"/>
          <w:szCs w:val="20"/>
        </w:rPr>
        <w:t>d</w:t>
      </w:r>
      <w:r w:rsidRPr="002727F2">
        <w:rPr>
          <w:sz w:val="20"/>
          <w:szCs w:val="20"/>
        </w:rPr>
        <w:t>:</w:t>
      </w:r>
    </w:p>
    <w:p w14:paraId="702206E3" w14:textId="61C8AE69" w:rsidR="00AD62F0" w:rsidRPr="00AD62F0" w:rsidRDefault="00AD62F0" w:rsidP="00AD62F0">
      <w:pPr>
        <w:numPr>
          <w:ilvl w:val="0"/>
          <w:numId w:val="1"/>
        </w:numPr>
        <w:spacing w:before="120"/>
        <w:contextualSpacing/>
        <w:rPr>
          <w:sz w:val="20"/>
          <w:szCs w:val="20"/>
        </w:rPr>
      </w:pPr>
      <w:r w:rsidRPr="00AD62F0">
        <w:rPr>
          <w:sz w:val="20"/>
          <w:szCs w:val="20"/>
        </w:rPr>
        <w:t xml:space="preserve">Key informant interviews with County and </w:t>
      </w:r>
      <w:r w:rsidR="00792B7D">
        <w:rPr>
          <w:sz w:val="20"/>
          <w:szCs w:val="20"/>
        </w:rPr>
        <w:t>S</w:t>
      </w:r>
      <w:r w:rsidRPr="00AD62F0">
        <w:rPr>
          <w:sz w:val="20"/>
          <w:szCs w:val="20"/>
        </w:rPr>
        <w:t>ub-County Health Management Team members;</w:t>
      </w:r>
    </w:p>
    <w:p w14:paraId="646F24CE" w14:textId="77777777" w:rsidR="00AD62F0" w:rsidRPr="00AD62F0" w:rsidRDefault="00AD62F0" w:rsidP="00AD62F0">
      <w:pPr>
        <w:numPr>
          <w:ilvl w:val="0"/>
          <w:numId w:val="1"/>
        </w:numPr>
        <w:spacing w:before="120"/>
        <w:contextualSpacing/>
        <w:rPr>
          <w:sz w:val="20"/>
          <w:szCs w:val="20"/>
        </w:rPr>
      </w:pPr>
      <w:r w:rsidRPr="00AD62F0">
        <w:rPr>
          <w:sz w:val="20"/>
          <w:szCs w:val="20"/>
        </w:rPr>
        <w:t xml:space="preserve">Key informant interviews with health workers in high volume public and </w:t>
      </w:r>
      <w:r w:rsidR="00613618">
        <w:rPr>
          <w:sz w:val="20"/>
          <w:szCs w:val="20"/>
        </w:rPr>
        <w:t>faith-based organisation (</w:t>
      </w:r>
      <w:r w:rsidRPr="00AD62F0">
        <w:rPr>
          <w:sz w:val="20"/>
          <w:szCs w:val="20"/>
        </w:rPr>
        <w:t>FBO</w:t>
      </w:r>
      <w:r w:rsidR="00613618">
        <w:rPr>
          <w:sz w:val="20"/>
          <w:szCs w:val="20"/>
        </w:rPr>
        <w:t>)</w:t>
      </w:r>
      <w:r w:rsidRPr="00AD62F0">
        <w:rPr>
          <w:sz w:val="20"/>
          <w:szCs w:val="20"/>
        </w:rPr>
        <w:t xml:space="preserve"> MCH clinics. At least two health facilities per sub-county </w:t>
      </w:r>
      <w:r w:rsidR="00CE11D0">
        <w:rPr>
          <w:sz w:val="20"/>
          <w:szCs w:val="20"/>
        </w:rPr>
        <w:t>were</w:t>
      </w:r>
      <w:r w:rsidRPr="00AD62F0">
        <w:rPr>
          <w:sz w:val="20"/>
          <w:szCs w:val="20"/>
        </w:rPr>
        <w:t xml:space="preserve"> selected. These include</w:t>
      </w:r>
      <w:r w:rsidR="00CE11D0">
        <w:rPr>
          <w:sz w:val="20"/>
          <w:szCs w:val="20"/>
        </w:rPr>
        <w:t>d</w:t>
      </w:r>
      <w:r w:rsidRPr="00AD62F0">
        <w:rPr>
          <w:sz w:val="20"/>
          <w:szCs w:val="20"/>
        </w:rPr>
        <w:t xml:space="preserve"> facilities within the informal settlements as well as those </w:t>
      </w:r>
      <w:r w:rsidR="00CE11D0" w:rsidRPr="00AD62F0">
        <w:rPr>
          <w:sz w:val="20"/>
          <w:szCs w:val="20"/>
        </w:rPr>
        <w:t xml:space="preserve">located on the periphery </w:t>
      </w:r>
      <w:r w:rsidR="00CE11D0">
        <w:rPr>
          <w:sz w:val="20"/>
          <w:szCs w:val="20"/>
        </w:rPr>
        <w:t xml:space="preserve">but serving </w:t>
      </w:r>
      <w:r w:rsidRPr="00AD62F0">
        <w:rPr>
          <w:sz w:val="20"/>
          <w:szCs w:val="20"/>
        </w:rPr>
        <w:t>informal settlement dwellers</w:t>
      </w:r>
      <w:r w:rsidR="00CE11D0">
        <w:rPr>
          <w:sz w:val="20"/>
          <w:szCs w:val="20"/>
        </w:rPr>
        <w:t>,</w:t>
      </w:r>
      <w:r w:rsidRPr="00AD62F0">
        <w:rPr>
          <w:sz w:val="20"/>
          <w:szCs w:val="20"/>
        </w:rPr>
        <w:t>;</w:t>
      </w:r>
    </w:p>
    <w:p w14:paraId="16E3D3DF" w14:textId="77777777" w:rsidR="00AD62F0" w:rsidRPr="00AD62F0" w:rsidRDefault="00AD62F0" w:rsidP="00AD62F0">
      <w:pPr>
        <w:numPr>
          <w:ilvl w:val="0"/>
          <w:numId w:val="1"/>
        </w:numPr>
        <w:spacing w:before="120"/>
        <w:contextualSpacing/>
        <w:rPr>
          <w:sz w:val="20"/>
          <w:szCs w:val="20"/>
        </w:rPr>
      </w:pPr>
      <w:r w:rsidRPr="00AD62F0">
        <w:rPr>
          <w:sz w:val="20"/>
          <w:szCs w:val="20"/>
        </w:rPr>
        <w:t>Interviews with caretakers attending the MCH clinic at the health facilities visited;</w:t>
      </w:r>
    </w:p>
    <w:p w14:paraId="3D43CE1B" w14:textId="77777777" w:rsidR="00AD62F0" w:rsidRPr="00AD62F0" w:rsidRDefault="00AD62F0" w:rsidP="00AD62F0">
      <w:pPr>
        <w:numPr>
          <w:ilvl w:val="0"/>
          <w:numId w:val="1"/>
        </w:numPr>
        <w:spacing w:before="120"/>
        <w:contextualSpacing/>
        <w:rPr>
          <w:sz w:val="20"/>
          <w:szCs w:val="20"/>
        </w:rPr>
      </w:pPr>
      <w:r w:rsidRPr="00AD62F0">
        <w:rPr>
          <w:sz w:val="20"/>
          <w:szCs w:val="20"/>
        </w:rPr>
        <w:t>Observation of MCH clinic operations;</w:t>
      </w:r>
    </w:p>
    <w:p w14:paraId="6D46AF35" w14:textId="77777777" w:rsidR="00AD62F0" w:rsidRPr="00AD62F0" w:rsidRDefault="00AD62F0" w:rsidP="00AD62F0">
      <w:pPr>
        <w:numPr>
          <w:ilvl w:val="0"/>
          <w:numId w:val="1"/>
        </w:numPr>
        <w:spacing w:before="120"/>
        <w:contextualSpacing/>
        <w:rPr>
          <w:sz w:val="20"/>
          <w:szCs w:val="20"/>
        </w:rPr>
      </w:pPr>
      <w:r w:rsidRPr="00AD62F0">
        <w:rPr>
          <w:sz w:val="20"/>
          <w:szCs w:val="20"/>
        </w:rPr>
        <w:t xml:space="preserve">Review of county </w:t>
      </w:r>
      <w:r w:rsidR="00CE11D0">
        <w:rPr>
          <w:sz w:val="20"/>
          <w:szCs w:val="20"/>
        </w:rPr>
        <w:t>human resource policy documents;</w:t>
      </w:r>
    </w:p>
    <w:p w14:paraId="4BBC7672" w14:textId="77777777" w:rsidR="00AD62F0" w:rsidRDefault="00AD62F0" w:rsidP="00AD62F0">
      <w:pPr>
        <w:numPr>
          <w:ilvl w:val="0"/>
          <w:numId w:val="1"/>
        </w:numPr>
        <w:spacing w:before="120"/>
        <w:contextualSpacing/>
        <w:rPr>
          <w:sz w:val="20"/>
          <w:szCs w:val="20"/>
        </w:rPr>
      </w:pPr>
      <w:r w:rsidRPr="00AD62F0">
        <w:rPr>
          <w:sz w:val="20"/>
          <w:szCs w:val="20"/>
        </w:rPr>
        <w:t xml:space="preserve">Literature </w:t>
      </w:r>
      <w:r w:rsidR="00645AC2">
        <w:rPr>
          <w:sz w:val="20"/>
          <w:szCs w:val="20"/>
        </w:rPr>
        <w:t>review</w:t>
      </w:r>
      <w:r w:rsidRPr="00AD62F0">
        <w:rPr>
          <w:sz w:val="20"/>
          <w:szCs w:val="20"/>
        </w:rPr>
        <w:t>.</w:t>
      </w:r>
    </w:p>
    <w:p w14:paraId="1818C65D" w14:textId="77777777" w:rsidR="00755FA0" w:rsidRPr="00755FA0" w:rsidRDefault="00755FA0" w:rsidP="00901AF2">
      <w:pPr>
        <w:spacing w:before="120"/>
        <w:contextualSpacing/>
        <w:rPr>
          <w:sz w:val="8"/>
          <w:szCs w:val="8"/>
        </w:rPr>
      </w:pPr>
    </w:p>
    <w:p w14:paraId="097E9430" w14:textId="5238B400" w:rsidR="00901AF2" w:rsidRDefault="00901AF2" w:rsidP="00901AF2">
      <w:pPr>
        <w:spacing w:before="120"/>
        <w:contextualSpacing/>
        <w:rPr>
          <w:sz w:val="20"/>
          <w:szCs w:val="20"/>
        </w:rPr>
      </w:pPr>
      <w:r>
        <w:rPr>
          <w:sz w:val="20"/>
          <w:szCs w:val="20"/>
        </w:rPr>
        <w:t xml:space="preserve">In total, </w:t>
      </w:r>
      <w:r w:rsidR="00AA1643">
        <w:rPr>
          <w:sz w:val="20"/>
          <w:szCs w:val="20"/>
        </w:rPr>
        <w:t>21</w:t>
      </w:r>
      <w:r>
        <w:rPr>
          <w:sz w:val="20"/>
          <w:szCs w:val="20"/>
        </w:rPr>
        <w:t xml:space="preserve"> health facilities were visit</w:t>
      </w:r>
      <w:r w:rsidR="00AA1643">
        <w:rPr>
          <w:sz w:val="20"/>
          <w:szCs w:val="20"/>
        </w:rPr>
        <w:t xml:space="preserve">ed in </w:t>
      </w:r>
      <w:r w:rsidR="002727F2">
        <w:rPr>
          <w:sz w:val="20"/>
          <w:szCs w:val="20"/>
        </w:rPr>
        <w:t>eight</w:t>
      </w:r>
      <w:r w:rsidR="00AA1643">
        <w:rPr>
          <w:sz w:val="20"/>
          <w:szCs w:val="20"/>
        </w:rPr>
        <w:t xml:space="preserve"> </w:t>
      </w:r>
      <w:r>
        <w:rPr>
          <w:sz w:val="20"/>
          <w:szCs w:val="20"/>
        </w:rPr>
        <w:t>sub-Count</w:t>
      </w:r>
      <w:r w:rsidR="00AA1643">
        <w:rPr>
          <w:sz w:val="20"/>
          <w:szCs w:val="20"/>
        </w:rPr>
        <w:t>ies</w:t>
      </w:r>
      <w:r>
        <w:rPr>
          <w:rStyle w:val="FootnoteReference"/>
          <w:sz w:val="20"/>
          <w:szCs w:val="20"/>
        </w:rPr>
        <w:footnoteReference w:id="1"/>
      </w:r>
      <w:r>
        <w:rPr>
          <w:sz w:val="20"/>
          <w:szCs w:val="20"/>
        </w:rPr>
        <w:t xml:space="preserve">. From these </w:t>
      </w:r>
      <w:r w:rsidRPr="00A30038">
        <w:rPr>
          <w:sz w:val="20"/>
          <w:szCs w:val="20"/>
        </w:rPr>
        <w:t>facilities,</w:t>
      </w:r>
      <w:r w:rsidR="00A30038">
        <w:rPr>
          <w:sz w:val="20"/>
          <w:szCs w:val="20"/>
        </w:rPr>
        <w:t xml:space="preserve"> 28</w:t>
      </w:r>
      <w:r w:rsidRPr="00A30038">
        <w:rPr>
          <w:sz w:val="20"/>
          <w:szCs w:val="20"/>
        </w:rPr>
        <w:t xml:space="preserve"> health workers and</w:t>
      </w:r>
      <w:r w:rsidR="00A30038">
        <w:rPr>
          <w:sz w:val="20"/>
          <w:szCs w:val="20"/>
        </w:rPr>
        <w:t xml:space="preserve"> 25</w:t>
      </w:r>
      <w:r w:rsidRPr="00A30038">
        <w:rPr>
          <w:sz w:val="20"/>
          <w:szCs w:val="20"/>
        </w:rPr>
        <w:t xml:space="preserve"> </w:t>
      </w:r>
      <w:r w:rsidR="00A30038" w:rsidRPr="00A30038">
        <w:rPr>
          <w:sz w:val="20"/>
          <w:szCs w:val="20"/>
        </w:rPr>
        <w:t xml:space="preserve">caretakers </w:t>
      </w:r>
      <w:r w:rsidRPr="00A30038">
        <w:rPr>
          <w:sz w:val="20"/>
          <w:szCs w:val="20"/>
        </w:rPr>
        <w:t xml:space="preserve">were interviewed. </w:t>
      </w:r>
      <w:r w:rsidR="00A30038" w:rsidRPr="00A30038">
        <w:rPr>
          <w:sz w:val="20"/>
          <w:szCs w:val="20"/>
        </w:rPr>
        <w:t>Caretaker</w:t>
      </w:r>
      <w:r w:rsidRPr="00A30038">
        <w:rPr>
          <w:sz w:val="20"/>
          <w:szCs w:val="20"/>
        </w:rPr>
        <w:t xml:space="preserve">s were selected randomly from those attending for </w:t>
      </w:r>
      <w:r w:rsidR="00AA1643" w:rsidRPr="00A30038">
        <w:rPr>
          <w:sz w:val="20"/>
          <w:szCs w:val="20"/>
        </w:rPr>
        <w:t xml:space="preserve">MCH and </w:t>
      </w:r>
      <w:r w:rsidRPr="00A30038">
        <w:rPr>
          <w:sz w:val="20"/>
          <w:szCs w:val="20"/>
        </w:rPr>
        <w:t>IMAM services</w:t>
      </w:r>
      <w:r w:rsidR="00AA1643">
        <w:rPr>
          <w:sz w:val="20"/>
          <w:szCs w:val="20"/>
        </w:rPr>
        <w:t xml:space="preserve"> and were </w:t>
      </w:r>
      <w:r>
        <w:rPr>
          <w:sz w:val="20"/>
          <w:szCs w:val="20"/>
        </w:rPr>
        <w:t xml:space="preserve">interviewed upon exit from </w:t>
      </w:r>
      <w:r w:rsidR="00AA1643">
        <w:rPr>
          <w:sz w:val="20"/>
          <w:szCs w:val="20"/>
        </w:rPr>
        <w:t xml:space="preserve">or whilst waiting for </w:t>
      </w:r>
      <w:r>
        <w:rPr>
          <w:sz w:val="20"/>
          <w:szCs w:val="20"/>
        </w:rPr>
        <w:t xml:space="preserve">the </w:t>
      </w:r>
      <w:r w:rsidR="003C00F5">
        <w:rPr>
          <w:sz w:val="20"/>
          <w:szCs w:val="20"/>
        </w:rPr>
        <w:t>service</w:t>
      </w:r>
      <w:r>
        <w:rPr>
          <w:sz w:val="20"/>
          <w:szCs w:val="20"/>
        </w:rPr>
        <w:t xml:space="preserve">. In addition, </w:t>
      </w:r>
      <w:r w:rsidR="00613618">
        <w:rPr>
          <w:sz w:val="20"/>
          <w:szCs w:val="20"/>
        </w:rPr>
        <w:t>four</w:t>
      </w:r>
      <w:r w:rsidR="00AA1643">
        <w:rPr>
          <w:sz w:val="20"/>
          <w:szCs w:val="20"/>
        </w:rPr>
        <w:t xml:space="preserve"> </w:t>
      </w:r>
      <w:r w:rsidR="00613618">
        <w:rPr>
          <w:sz w:val="20"/>
          <w:szCs w:val="20"/>
        </w:rPr>
        <w:t>S</w:t>
      </w:r>
      <w:r>
        <w:rPr>
          <w:sz w:val="20"/>
          <w:szCs w:val="20"/>
        </w:rPr>
        <w:t>ub-County Medical Officers were interviewed</w:t>
      </w:r>
      <w:r w:rsidR="00AA1643">
        <w:rPr>
          <w:sz w:val="20"/>
          <w:szCs w:val="20"/>
        </w:rPr>
        <w:t xml:space="preserve">.  </w:t>
      </w:r>
      <w:r w:rsidR="00D644B5">
        <w:rPr>
          <w:sz w:val="20"/>
          <w:szCs w:val="20"/>
        </w:rPr>
        <w:t>The review itself was guided by the Nairobi C</w:t>
      </w:r>
      <w:r w:rsidR="00792B7D">
        <w:rPr>
          <w:sz w:val="20"/>
          <w:szCs w:val="20"/>
        </w:rPr>
        <w:t>HMT</w:t>
      </w:r>
      <w:r w:rsidR="00D644B5">
        <w:rPr>
          <w:sz w:val="20"/>
          <w:szCs w:val="20"/>
        </w:rPr>
        <w:t xml:space="preserve">. </w:t>
      </w:r>
      <w:r w:rsidR="00AA1643">
        <w:rPr>
          <w:sz w:val="20"/>
          <w:szCs w:val="20"/>
        </w:rPr>
        <w:t xml:space="preserve">Table 1 presents the names and distribution of facilities as well as those interviewed from the </w:t>
      </w:r>
      <w:r w:rsidR="00A30038">
        <w:rPr>
          <w:sz w:val="20"/>
          <w:szCs w:val="20"/>
        </w:rPr>
        <w:t>S</w:t>
      </w:r>
      <w:r w:rsidR="00AA1643">
        <w:rPr>
          <w:sz w:val="20"/>
          <w:szCs w:val="20"/>
        </w:rPr>
        <w:t xml:space="preserve">ub-Counties. </w:t>
      </w:r>
      <w:r w:rsidR="00755FA0">
        <w:rPr>
          <w:sz w:val="20"/>
          <w:szCs w:val="20"/>
        </w:rPr>
        <w:t>Field work was conducted over the period 29</w:t>
      </w:r>
      <w:r w:rsidR="00755FA0" w:rsidRPr="00755FA0">
        <w:rPr>
          <w:sz w:val="20"/>
          <w:szCs w:val="20"/>
          <w:vertAlign w:val="superscript"/>
        </w:rPr>
        <w:t>th</w:t>
      </w:r>
      <w:r w:rsidR="00755FA0">
        <w:rPr>
          <w:sz w:val="20"/>
          <w:szCs w:val="20"/>
        </w:rPr>
        <w:t xml:space="preserve"> June through to 24</w:t>
      </w:r>
      <w:r w:rsidR="00755FA0" w:rsidRPr="00755FA0">
        <w:rPr>
          <w:sz w:val="20"/>
          <w:szCs w:val="20"/>
          <w:vertAlign w:val="superscript"/>
        </w:rPr>
        <w:t>th</w:t>
      </w:r>
      <w:r w:rsidR="00755FA0">
        <w:rPr>
          <w:sz w:val="20"/>
          <w:szCs w:val="20"/>
        </w:rPr>
        <w:t xml:space="preserve"> July, 2015. </w:t>
      </w:r>
      <w:r w:rsidR="00613618">
        <w:rPr>
          <w:sz w:val="20"/>
          <w:szCs w:val="20"/>
        </w:rPr>
        <w:t xml:space="preserve"> A key limitation of the review was that only caretakers attending MCH clinics were consulted; those that do not attend were not accessed as part of the review. </w:t>
      </w:r>
    </w:p>
    <w:p w14:paraId="5807A3F8" w14:textId="77777777" w:rsidR="00AA1643" w:rsidRPr="00AA1643" w:rsidRDefault="00AA1643" w:rsidP="00AA1643">
      <w:pPr>
        <w:pStyle w:val="Caption"/>
        <w:spacing w:before="120" w:after="120"/>
        <w:rPr>
          <w:sz w:val="16"/>
          <w:szCs w:val="16"/>
        </w:rPr>
      </w:pPr>
      <w:r w:rsidRPr="00AA1643">
        <w:rPr>
          <w:sz w:val="16"/>
          <w:szCs w:val="16"/>
        </w:rPr>
        <w:t xml:space="preserve">Table </w:t>
      </w:r>
      <w:r w:rsidRPr="00AA1643">
        <w:rPr>
          <w:sz w:val="16"/>
          <w:szCs w:val="16"/>
        </w:rPr>
        <w:fldChar w:fldCharType="begin"/>
      </w:r>
      <w:r w:rsidRPr="00AA1643">
        <w:rPr>
          <w:sz w:val="16"/>
          <w:szCs w:val="16"/>
        </w:rPr>
        <w:instrText xml:space="preserve"> SEQ Table \* ARABIC </w:instrText>
      </w:r>
      <w:r w:rsidRPr="00AA1643">
        <w:rPr>
          <w:sz w:val="16"/>
          <w:szCs w:val="16"/>
        </w:rPr>
        <w:fldChar w:fldCharType="separate"/>
      </w:r>
      <w:r w:rsidR="00D47127">
        <w:rPr>
          <w:noProof/>
          <w:sz w:val="16"/>
          <w:szCs w:val="16"/>
        </w:rPr>
        <w:t>1</w:t>
      </w:r>
      <w:r w:rsidRPr="00AA1643">
        <w:rPr>
          <w:sz w:val="16"/>
          <w:szCs w:val="16"/>
        </w:rPr>
        <w:fldChar w:fldCharType="end"/>
      </w:r>
      <w:r w:rsidRPr="00AA1643">
        <w:rPr>
          <w:sz w:val="16"/>
          <w:szCs w:val="16"/>
        </w:rPr>
        <w:t>: Distribution of sub-county facilities and key informants</w:t>
      </w:r>
    </w:p>
    <w:tbl>
      <w:tblPr>
        <w:tblStyle w:val="GridTable4-Accent61"/>
        <w:tblW w:w="9212" w:type="dxa"/>
        <w:tblLayout w:type="fixed"/>
        <w:tblLook w:val="04A0" w:firstRow="1" w:lastRow="0" w:firstColumn="1" w:lastColumn="0" w:noHBand="0" w:noVBand="1"/>
      </w:tblPr>
      <w:tblGrid>
        <w:gridCol w:w="1615"/>
        <w:gridCol w:w="2880"/>
        <w:gridCol w:w="2197"/>
        <w:gridCol w:w="2520"/>
      </w:tblGrid>
      <w:tr w:rsidR="00901AF2" w14:paraId="0B2DEDD1" w14:textId="77777777" w:rsidTr="003A5BB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hideMark/>
          </w:tcPr>
          <w:p w14:paraId="382A3337" w14:textId="77777777" w:rsidR="00901AF2" w:rsidRPr="003A5BB0" w:rsidRDefault="00901AF2" w:rsidP="00901AF2">
            <w:pPr>
              <w:spacing w:before="60" w:after="60"/>
              <w:jc w:val="center"/>
              <w:rPr>
                <w:rFonts w:ascii="Arial" w:hAnsi="Arial" w:cs="Arial"/>
                <w:sz w:val="16"/>
                <w:szCs w:val="16"/>
              </w:rPr>
            </w:pPr>
            <w:r w:rsidRPr="003A5BB0">
              <w:rPr>
                <w:rFonts w:ascii="Arial" w:hAnsi="Arial" w:cs="Arial"/>
                <w:sz w:val="16"/>
                <w:szCs w:val="16"/>
              </w:rPr>
              <w:t>Sub county</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hideMark/>
          </w:tcPr>
          <w:p w14:paraId="45FBA1D1" w14:textId="77777777" w:rsidR="00901AF2" w:rsidRPr="003A5BB0" w:rsidRDefault="00901AF2" w:rsidP="00901AF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A5BB0">
              <w:rPr>
                <w:rFonts w:ascii="Arial" w:hAnsi="Arial" w:cs="Arial"/>
                <w:bCs w:val="0"/>
                <w:sz w:val="16"/>
                <w:szCs w:val="16"/>
              </w:rPr>
              <w:t>Facilities visited</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617BAAC9" w14:textId="77777777" w:rsidR="00901AF2" w:rsidRPr="003A5BB0" w:rsidRDefault="00901AF2" w:rsidP="00901AF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3A5BB0">
              <w:rPr>
                <w:rFonts w:ascii="Arial" w:hAnsi="Arial" w:cs="Arial"/>
                <w:bCs w:val="0"/>
                <w:sz w:val="16"/>
                <w:szCs w:val="16"/>
              </w:rPr>
              <w:t>Health workers interviewed</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6053D562" w14:textId="77777777" w:rsidR="00901AF2" w:rsidRPr="003A5BB0" w:rsidRDefault="00901AF2" w:rsidP="00901AF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3A5BB0">
              <w:rPr>
                <w:rFonts w:ascii="Arial" w:hAnsi="Arial" w:cs="Arial"/>
                <w:bCs w:val="0"/>
                <w:sz w:val="16"/>
                <w:szCs w:val="16"/>
              </w:rPr>
              <w:t>Mother interviews</w:t>
            </w:r>
          </w:p>
        </w:tc>
      </w:tr>
      <w:tr w:rsidR="00901AF2" w:rsidRPr="007A0B01" w14:paraId="4096F081" w14:textId="77777777" w:rsidTr="003A5BB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C091CE6"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Kamukunji</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4A6A9AE"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Majengo</w:t>
            </w:r>
            <w:proofErr w:type="spellEnd"/>
            <w:r w:rsidRPr="003A5BB0">
              <w:rPr>
                <w:rFonts w:ascii="Arial" w:hAnsi="Arial" w:cs="Arial"/>
                <w:color w:val="222A35" w:themeColor="text2" w:themeShade="80"/>
                <w:sz w:val="16"/>
                <w:szCs w:val="16"/>
              </w:rPr>
              <w:t xml:space="preserve"> Health Centre </w:t>
            </w:r>
          </w:p>
          <w:p w14:paraId="08C83116"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Eastleigh</w:t>
            </w:r>
            <w:proofErr w:type="spellEnd"/>
            <w:r w:rsidRPr="003A5BB0">
              <w:rPr>
                <w:rFonts w:ascii="Arial" w:hAnsi="Arial" w:cs="Arial"/>
                <w:color w:val="222A35" w:themeColor="text2" w:themeShade="80"/>
                <w:sz w:val="16"/>
                <w:szCs w:val="16"/>
              </w:rPr>
              <w:t xml:space="preserve"> Health Centre (Biafra)</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030FC74D" w14:textId="77777777" w:rsidR="00745D8F" w:rsidRDefault="00745D8F"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Majengo</w:t>
            </w:r>
            <w:proofErr w:type="spellEnd"/>
          </w:p>
          <w:p w14:paraId="0F5D9231" w14:textId="77777777" w:rsidR="00901AF2" w:rsidRPr="003A5BB0" w:rsidRDefault="0027262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1 Biafra</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13BE24A4" w14:textId="77777777" w:rsidR="00745D8F" w:rsidRDefault="00745D8F"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Majengo</w:t>
            </w:r>
            <w:proofErr w:type="spellEnd"/>
          </w:p>
          <w:p w14:paraId="009072F6" w14:textId="77777777" w:rsidR="00901AF2" w:rsidRPr="003A5BB0" w:rsidRDefault="0027262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2 Biafra</w:t>
            </w:r>
          </w:p>
        </w:tc>
      </w:tr>
      <w:tr w:rsidR="00901AF2" w:rsidRPr="007A0B01" w14:paraId="34F01316" w14:textId="77777777" w:rsidTr="003A5BB0">
        <w:trPr>
          <w:trHeight w:val="457"/>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99553FC"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Westlands</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0C3EF04" w14:textId="77777777" w:rsidR="00901AF2"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Mji</w:t>
            </w:r>
            <w:proofErr w:type="spellEnd"/>
            <w:r w:rsidRPr="003A5BB0">
              <w:rPr>
                <w:rFonts w:ascii="Arial" w:hAnsi="Arial" w:cs="Arial"/>
                <w:color w:val="222A35" w:themeColor="text2" w:themeShade="80"/>
                <w:sz w:val="16"/>
                <w:szCs w:val="16"/>
              </w:rPr>
              <w:t xml:space="preserve"> </w:t>
            </w:r>
            <w:proofErr w:type="spellStart"/>
            <w:r w:rsidR="008E5FDA">
              <w:rPr>
                <w:rFonts w:ascii="Arial" w:hAnsi="Arial" w:cs="Arial"/>
                <w:color w:val="222A35" w:themeColor="text2" w:themeShade="80"/>
                <w:sz w:val="16"/>
                <w:szCs w:val="16"/>
              </w:rPr>
              <w:t>w</w:t>
            </w:r>
            <w:r w:rsidRPr="003A5BB0">
              <w:rPr>
                <w:rFonts w:ascii="Arial" w:hAnsi="Arial" w:cs="Arial"/>
                <w:color w:val="222A35" w:themeColor="text2" w:themeShade="80"/>
                <w:sz w:val="16"/>
                <w:szCs w:val="16"/>
              </w:rPr>
              <w:t>a</w:t>
            </w:r>
            <w:proofErr w:type="spellEnd"/>
            <w:r w:rsidRPr="003A5BB0">
              <w:rPr>
                <w:rFonts w:ascii="Arial" w:hAnsi="Arial" w:cs="Arial"/>
                <w:color w:val="222A35" w:themeColor="text2" w:themeShade="80"/>
                <w:sz w:val="16"/>
                <w:szCs w:val="16"/>
              </w:rPr>
              <w:t xml:space="preserve"> </w:t>
            </w:r>
            <w:proofErr w:type="spellStart"/>
            <w:r w:rsidRPr="003A5BB0">
              <w:rPr>
                <w:rFonts w:ascii="Arial" w:hAnsi="Arial" w:cs="Arial"/>
                <w:color w:val="222A35" w:themeColor="text2" w:themeShade="80"/>
                <w:sz w:val="16"/>
                <w:szCs w:val="16"/>
              </w:rPr>
              <w:t>Huruma</w:t>
            </w:r>
            <w:proofErr w:type="spellEnd"/>
            <w:r w:rsidR="008E5FDA">
              <w:rPr>
                <w:rFonts w:ascii="Arial" w:hAnsi="Arial" w:cs="Arial"/>
                <w:color w:val="222A35" w:themeColor="text2" w:themeShade="80"/>
                <w:sz w:val="16"/>
                <w:szCs w:val="16"/>
              </w:rPr>
              <w:t xml:space="preserve"> Dispensary</w:t>
            </w:r>
          </w:p>
          <w:p w14:paraId="27B5720D" w14:textId="77777777" w:rsidR="008E5FDA" w:rsidRPr="003A5BB0" w:rsidRDefault="008E5FDA"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8E5FDA">
              <w:rPr>
                <w:rFonts w:ascii="Arial" w:hAnsi="Arial" w:cs="Arial"/>
                <w:color w:val="222A35" w:themeColor="text2" w:themeShade="80"/>
                <w:sz w:val="16"/>
                <w:szCs w:val="16"/>
              </w:rPr>
              <w:t>Mji</w:t>
            </w:r>
            <w:proofErr w:type="spellEnd"/>
            <w:r w:rsidRPr="008E5FDA">
              <w:rPr>
                <w:rFonts w:ascii="Arial" w:hAnsi="Arial" w:cs="Arial"/>
                <w:color w:val="222A35" w:themeColor="text2" w:themeShade="80"/>
                <w:sz w:val="16"/>
                <w:szCs w:val="16"/>
              </w:rPr>
              <w:t xml:space="preserve"> </w:t>
            </w:r>
            <w:proofErr w:type="spellStart"/>
            <w:r w:rsidRPr="008E5FDA">
              <w:rPr>
                <w:rFonts w:ascii="Arial" w:hAnsi="Arial" w:cs="Arial"/>
                <w:color w:val="222A35" w:themeColor="text2" w:themeShade="80"/>
                <w:sz w:val="16"/>
                <w:szCs w:val="16"/>
              </w:rPr>
              <w:t>wa</w:t>
            </w:r>
            <w:proofErr w:type="spellEnd"/>
            <w:r w:rsidRPr="008E5FDA">
              <w:rPr>
                <w:rFonts w:ascii="Arial" w:hAnsi="Arial" w:cs="Arial"/>
                <w:color w:val="222A35" w:themeColor="text2" w:themeShade="80"/>
                <w:sz w:val="16"/>
                <w:szCs w:val="16"/>
              </w:rPr>
              <w:t xml:space="preserve"> </w:t>
            </w:r>
            <w:proofErr w:type="spellStart"/>
            <w:r w:rsidRPr="008E5FDA">
              <w:rPr>
                <w:rFonts w:ascii="Arial" w:hAnsi="Arial" w:cs="Arial"/>
                <w:color w:val="222A35" w:themeColor="text2" w:themeShade="80"/>
                <w:sz w:val="16"/>
                <w:szCs w:val="16"/>
              </w:rPr>
              <w:t>Huruma</w:t>
            </w:r>
            <w:proofErr w:type="spellEnd"/>
            <w:r w:rsidRPr="008E5FDA">
              <w:rPr>
                <w:rFonts w:ascii="Arial" w:hAnsi="Arial" w:cs="Arial"/>
                <w:color w:val="222A35" w:themeColor="text2" w:themeShade="80"/>
                <w:sz w:val="16"/>
                <w:szCs w:val="16"/>
              </w:rPr>
              <w:t xml:space="preserve"> Health Cent</w:t>
            </w:r>
            <w:r>
              <w:rPr>
                <w:rFonts w:ascii="Arial" w:hAnsi="Arial" w:cs="Arial"/>
                <w:color w:val="222A35" w:themeColor="text2" w:themeShade="80"/>
                <w:sz w:val="16"/>
                <w:szCs w:val="16"/>
              </w:rPr>
              <w:t>re</w:t>
            </w:r>
          </w:p>
          <w:p w14:paraId="76E53177"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Kangemi</w:t>
            </w:r>
            <w:proofErr w:type="spellEnd"/>
            <w:r w:rsidRPr="003A5BB0">
              <w:rPr>
                <w:rFonts w:ascii="Arial" w:hAnsi="Arial" w:cs="Arial"/>
                <w:color w:val="222A35" w:themeColor="text2" w:themeShade="80"/>
                <w:sz w:val="16"/>
                <w:szCs w:val="16"/>
              </w:rPr>
              <w:t xml:space="preserve"> Health Centre</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1A78CC7" w14:textId="77777777" w:rsidR="00901AF2" w:rsidRDefault="008E5FDA"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Mji</w:t>
            </w:r>
            <w:proofErr w:type="spellEnd"/>
            <w:r>
              <w:rPr>
                <w:rFonts w:ascii="Arial" w:hAnsi="Arial" w:cs="Arial"/>
                <w:color w:val="222A35" w:themeColor="text2" w:themeShade="80"/>
                <w:sz w:val="16"/>
                <w:szCs w:val="16"/>
              </w:rPr>
              <w:t xml:space="preserve"> </w:t>
            </w:r>
            <w:proofErr w:type="spellStart"/>
            <w:r>
              <w:rPr>
                <w:rFonts w:ascii="Arial" w:hAnsi="Arial" w:cs="Arial"/>
                <w:color w:val="222A35" w:themeColor="text2" w:themeShade="80"/>
                <w:sz w:val="16"/>
                <w:szCs w:val="16"/>
              </w:rPr>
              <w:t>Wa</w:t>
            </w:r>
            <w:proofErr w:type="spellEnd"/>
          </w:p>
          <w:p w14:paraId="23D09386" w14:textId="77777777" w:rsidR="0082590B" w:rsidRPr="003A5BB0" w:rsidRDefault="0082590B" w:rsidP="00045E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sidR="00045E96">
              <w:rPr>
                <w:rFonts w:ascii="Arial" w:hAnsi="Arial" w:cs="Arial"/>
                <w:color w:val="222A35" w:themeColor="text2" w:themeShade="80"/>
                <w:sz w:val="16"/>
                <w:szCs w:val="16"/>
              </w:rPr>
              <w:t>Kangemi</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13B83E5E" w14:textId="77777777" w:rsidR="00901AF2" w:rsidRDefault="008E5FDA"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Mji</w:t>
            </w:r>
            <w:proofErr w:type="spellEnd"/>
            <w:r>
              <w:rPr>
                <w:rFonts w:ascii="Arial" w:hAnsi="Arial" w:cs="Arial"/>
                <w:color w:val="222A35" w:themeColor="text2" w:themeShade="80"/>
                <w:sz w:val="16"/>
                <w:szCs w:val="16"/>
              </w:rPr>
              <w:t xml:space="preserve"> </w:t>
            </w:r>
            <w:proofErr w:type="spellStart"/>
            <w:r>
              <w:rPr>
                <w:rFonts w:ascii="Arial" w:hAnsi="Arial" w:cs="Arial"/>
                <w:color w:val="222A35" w:themeColor="text2" w:themeShade="80"/>
                <w:sz w:val="16"/>
                <w:szCs w:val="16"/>
              </w:rPr>
              <w:t>Wa</w:t>
            </w:r>
            <w:proofErr w:type="spellEnd"/>
          </w:p>
          <w:p w14:paraId="1E3D68F4" w14:textId="77777777" w:rsidR="0082590B" w:rsidRPr="003A5BB0" w:rsidRDefault="0082590B" w:rsidP="00045E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sidR="00045E96">
              <w:rPr>
                <w:rFonts w:ascii="Arial" w:hAnsi="Arial" w:cs="Arial"/>
                <w:color w:val="222A35" w:themeColor="text2" w:themeShade="80"/>
                <w:sz w:val="16"/>
                <w:szCs w:val="16"/>
              </w:rPr>
              <w:t>Kangemi</w:t>
            </w:r>
            <w:proofErr w:type="spellEnd"/>
          </w:p>
        </w:tc>
      </w:tr>
      <w:tr w:rsidR="00901AF2" w:rsidRPr="007A0B01" w14:paraId="0095A164" w14:textId="77777777" w:rsidTr="003A5BB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919008A"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Embakasi</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4F36AE42"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sidRPr="003A5BB0">
              <w:rPr>
                <w:rFonts w:ascii="Arial" w:hAnsi="Arial" w:cs="Arial"/>
                <w:color w:val="222A35" w:themeColor="text2" w:themeShade="80"/>
                <w:sz w:val="16"/>
                <w:szCs w:val="16"/>
              </w:rPr>
              <w:t>MMM (FBO Health Centre)</w:t>
            </w:r>
          </w:p>
          <w:p w14:paraId="7FC80B31"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Mukuru</w:t>
            </w:r>
            <w:proofErr w:type="spellEnd"/>
            <w:r w:rsidRPr="003A5BB0">
              <w:rPr>
                <w:rFonts w:ascii="Arial" w:hAnsi="Arial" w:cs="Arial"/>
                <w:color w:val="222A35" w:themeColor="text2" w:themeShade="80"/>
                <w:sz w:val="16"/>
                <w:szCs w:val="16"/>
              </w:rPr>
              <w:t xml:space="preserve"> Health Centre </w:t>
            </w:r>
          </w:p>
          <w:p w14:paraId="38624240" w14:textId="77777777" w:rsidR="00901AF2"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sidRPr="003A5BB0">
              <w:rPr>
                <w:rFonts w:ascii="Arial" w:hAnsi="Arial" w:cs="Arial"/>
                <w:color w:val="222A35" w:themeColor="text2" w:themeShade="80"/>
                <w:sz w:val="16"/>
                <w:szCs w:val="16"/>
              </w:rPr>
              <w:lastRenderedPageBreak/>
              <w:t>Kayole2 Health Centre</w:t>
            </w:r>
          </w:p>
          <w:p w14:paraId="2C945702" w14:textId="77777777" w:rsidR="002F336E" w:rsidRPr="003A5BB0" w:rsidRDefault="002F336E"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2F336E">
              <w:rPr>
                <w:rFonts w:ascii="Arial" w:hAnsi="Arial" w:cs="Arial"/>
                <w:color w:val="222A35" w:themeColor="text2" w:themeShade="80"/>
                <w:sz w:val="16"/>
                <w:szCs w:val="16"/>
              </w:rPr>
              <w:t>Mukuru</w:t>
            </w:r>
            <w:proofErr w:type="spellEnd"/>
            <w:r w:rsidRPr="002F336E">
              <w:rPr>
                <w:rFonts w:ascii="Arial" w:hAnsi="Arial" w:cs="Arial"/>
                <w:color w:val="222A35" w:themeColor="text2" w:themeShade="80"/>
                <w:sz w:val="16"/>
                <w:szCs w:val="16"/>
              </w:rPr>
              <w:t xml:space="preserve"> Kwa Reuben FBO</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1DAC5B0" w14:textId="77777777" w:rsidR="00901AF2" w:rsidRDefault="0082590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lastRenderedPageBreak/>
              <w:t>2 MMM</w:t>
            </w:r>
          </w:p>
          <w:p w14:paraId="50DEC23C" w14:textId="77777777" w:rsidR="00414ACC"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Mukuru</w:t>
            </w:r>
            <w:proofErr w:type="spellEnd"/>
          </w:p>
          <w:p w14:paraId="0CCE54B6" w14:textId="77777777" w:rsidR="00414ACC"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lastRenderedPageBreak/>
              <w:t xml:space="preserve">1 </w:t>
            </w:r>
            <w:proofErr w:type="spellStart"/>
            <w:r>
              <w:rPr>
                <w:rFonts w:ascii="Arial" w:hAnsi="Arial" w:cs="Arial"/>
                <w:color w:val="222A35" w:themeColor="text2" w:themeShade="80"/>
                <w:sz w:val="16"/>
                <w:szCs w:val="16"/>
              </w:rPr>
              <w:t>Kayole</w:t>
            </w:r>
            <w:proofErr w:type="spellEnd"/>
          </w:p>
          <w:p w14:paraId="62948695" w14:textId="77777777" w:rsidR="00742CB8" w:rsidRPr="003A5BB0" w:rsidRDefault="00742CB8"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2 MKR</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76FBF25E" w14:textId="77777777" w:rsidR="00901AF2" w:rsidRDefault="0082590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lastRenderedPageBreak/>
              <w:t>2 MMM</w:t>
            </w:r>
          </w:p>
          <w:p w14:paraId="3A8E0419" w14:textId="77777777" w:rsidR="00414ACC"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Mukuru</w:t>
            </w:r>
            <w:proofErr w:type="spellEnd"/>
          </w:p>
          <w:p w14:paraId="754007F9" w14:textId="77777777" w:rsidR="00414ACC"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lastRenderedPageBreak/>
              <w:t xml:space="preserve">2 </w:t>
            </w:r>
            <w:proofErr w:type="spellStart"/>
            <w:r>
              <w:rPr>
                <w:rFonts w:ascii="Arial" w:hAnsi="Arial" w:cs="Arial"/>
                <w:color w:val="222A35" w:themeColor="text2" w:themeShade="80"/>
                <w:sz w:val="16"/>
                <w:szCs w:val="16"/>
              </w:rPr>
              <w:t>Kayole</w:t>
            </w:r>
            <w:proofErr w:type="spellEnd"/>
          </w:p>
          <w:p w14:paraId="347ED3F1" w14:textId="77777777" w:rsidR="002F336E" w:rsidRPr="003A5BB0" w:rsidRDefault="002F336E"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1 MKR</w:t>
            </w:r>
          </w:p>
        </w:tc>
      </w:tr>
      <w:tr w:rsidR="00901AF2" w:rsidRPr="007A0B01" w14:paraId="33533FAC" w14:textId="77777777" w:rsidTr="003A5BB0">
        <w:trPr>
          <w:trHeight w:val="430"/>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75D2ED5"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lastRenderedPageBreak/>
              <w:t>Makadara</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1CDA4905"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Makadara</w:t>
            </w:r>
            <w:proofErr w:type="spellEnd"/>
            <w:r w:rsidRPr="003A5BB0">
              <w:rPr>
                <w:rFonts w:ascii="Arial" w:hAnsi="Arial" w:cs="Arial"/>
                <w:color w:val="222A35" w:themeColor="text2" w:themeShade="80"/>
                <w:sz w:val="16"/>
                <w:szCs w:val="16"/>
              </w:rPr>
              <w:t xml:space="preserve"> Health Centre </w:t>
            </w:r>
          </w:p>
          <w:p w14:paraId="7D300729"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Bahati</w:t>
            </w:r>
            <w:proofErr w:type="spellEnd"/>
            <w:r w:rsidRPr="003A5BB0">
              <w:rPr>
                <w:rFonts w:ascii="Arial" w:hAnsi="Arial" w:cs="Arial"/>
                <w:color w:val="222A35" w:themeColor="text2" w:themeShade="80"/>
                <w:sz w:val="16"/>
                <w:szCs w:val="16"/>
              </w:rPr>
              <w:t xml:space="preserve"> Health Centre</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368FBD3F" w14:textId="77777777" w:rsidR="00BB6FA4" w:rsidRDefault="00BB6FA4"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3 </w:t>
            </w:r>
            <w:proofErr w:type="spellStart"/>
            <w:r>
              <w:rPr>
                <w:rFonts w:ascii="Arial" w:hAnsi="Arial" w:cs="Arial"/>
                <w:color w:val="222A35" w:themeColor="text2" w:themeShade="80"/>
                <w:sz w:val="16"/>
                <w:szCs w:val="16"/>
              </w:rPr>
              <w:t>Makadara</w:t>
            </w:r>
            <w:proofErr w:type="spellEnd"/>
          </w:p>
          <w:p w14:paraId="435BFA2B" w14:textId="77777777" w:rsidR="00901AF2" w:rsidRPr="003A5BB0" w:rsidRDefault="00FE4A0C"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Bahati</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3A992D1F" w14:textId="77777777" w:rsidR="00755FA0" w:rsidRDefault="00755FA0"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Makadara</w:t>
            </w:r>
            <w:proofErr w:type="spellEnd"/>
          </w:p>
          <w:p w14:paraId="2164CE83" w14:textId="77777777" w:rsidR="00901AF2" w:rsidRPr="003A5BB0" w:rsidRDefault="00FE4A0C"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Bahati</w:t>
            </w:r>
            <w:proofErr w:type="spellEnd"/>
          </w:p>
        </w:tc>
      </w:tr>
      <w:tr w:rsidR="00901AF2" w:rsidRPr="007A0B01" w14:paraId="1BA69CA2" w14:textId="77777777" w:rsidTr="003A5BB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1BBE7949"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Kasarani</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53FAA27"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Dandora</w:t>
            </w:r>
            <w:proofErr w:type="spellEnd"/>
            <w:r w:rsidRPr="003A5BB0">
              <w:rPr>
                <w:rFonts w:ascii="Arial" w:hAnsi="Arial" w:cs="Arial"/>
                <w:color w:val="222A35" w:themeColor="text2" w:themeShade="80"/>
                <w:sz w:val="16"/>
                <w:szCs w:val="16"/>
              </w:rPr>
              <w:t xml:space="preserve"> 1 Health Centre </w:t>
            </w:r>
          </w:p>
          <w:p w14:paraId="266F82B2"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Karobangi</w:t>
            </w:r>
            <w:proofErr w:type="spellEnd"/>
            <w:r w:rsidRPr="003A5BB0">
              <w:rPr>
                <w:rFonts w:ascii="Arial" w:hAnsi="Arial" w:cs="Arial"/>
                <w:color w:val="222A35" w:themeColor="text2" w:themeShade="80"/>
                <w:sz w:val="16"/>
                <w:szCs w:val="16"/>
              </w:rPr>
              <w:t xml:space="preserve"> North Health Centre</w:t>
            </w:r>
          </w:p>
          <w:p w14:paraId="1EF5A921" w14:textId="77777777" w:rsidR="00901AF2" w:rsidRDefault="00901AF2" w:rsidP="00AE65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Kasarani</w:t>
            </w:r>
            <w:proofErr w:type="spellEnd"/>
            <w:r w:rsidRPr="003A5BB0">
              <w:rPr>
                <w:rFonts w:ascii="Arial" w:hAnsi="Arial" w:cs="Arial"/>
                <w:color w:val="222A35" w:themeColor="text2" w:themeShade="80"/>
                <w:sz w:val="16"/>
                <w:szCs w:val="16"/>
              </w:rPr>
              <w:t xml:space="preserve"> </w:t>
            </w:r>
            <w:r w:rsidR="00AE6578">
              <w:rPr>
                <w:rFonts w:ascii="Arial" w:hAnsi="Arial" w:cs="Arial"/>
                <w:color w:val="222A35" w:themeColor="text2" w:themeShade="80"/>
                <w:sz w:val="16"/>
                <w:szCs w:val="16"/>
              </w:rPr>
              <w:t>H</w:t>
            </w:r>
            <w:r w:rsidRPr="003A5BB0">
              <w:rPr>
                <w:rFonts w:ascii="Arial" w:hAnsi="Arial" w:cs="Arial"/>
                <w:color w:val="222A35" w:themeColor="text2" w:themeShade="80"/>
                <w:sz w:val="16"/>
                <w:szCs w:val="16"/>
              </w:rPr>
              <w:t xml:space="preserve">ealth </w:t>
            </w:r>
            <w:r w:rsidR="00AE6578">
              <w:rPr>
                <w:rFonts w:ascii="Arial" w:hAnsi="Arial" w:cs="Arial"/>
                <w:color w:val="222A35" w:themeColor="text2" w:themeShade="80"/>
                <w:sz w:val="16"/>
                <w:szCs w:val="16"/>
              </w:rPr>
              <w:t>C</w:t>
            </w:r>
            <w:r w:rsidRPr="003A5BB0">
              <w:rPr>
                <w:rFonts w:ascii="Arial" w:hAnsi="Arial" w:cs="Arial"/>
                <w:color w:val="222A35" w:themeColor="text2" w:themeShade="80"/>
                <w:sz w:val="16"/>
                <w:szCs w:val="16"/>
              </w:rPr>
              <w:t xml:space="preserve">entre </w:t>
            </w:r>
          </w:p>
          <w:p w14:paraId="51660EE2" w14:textId="77777777" w:rsidR="00AE6578" w:rsidRPr="003A5BB0" w:rsidRDefault="00AE6578" w:rsidP="00AE65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German Baraka Hospital</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355E145" w14:textId="77777777" w:rsidR="00490E29" w:rsidRDefault="00490E29"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Dandora</w:t>
            </w:r>
            <w:proofErr w:type="spellEnd"/>
            <w:r>
              <w:rPr>
                <w:rFonts w:ascii="Arial" w:hAnsi="Arial" w:cs="Arial"/>
                <w:color w:val="222A35" w:themeColor="text2" w:themeShade="80"/>
                <w:sz w:val="16"/>
                <w:szCs w:val="16"/>
              </w:rPr>
              <w:t xml:space="preserve"> </w:t>
            </w:r>
          </w:p>
          <w:p w14:paraId="20B006DC" w14:textId="77777777" w:rsidR="00901AF2" w:rsidRDefault="00AE6578"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1 German Baraka</w:t>
            </w:r>
          </w:p>
          <w:p w14:paraId="1C03E3E4" w14:textId="77777777" w:rsidR="00414ACC" w:rsidRPr="003A5BB0"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Kariobangi</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C4A5D9F" w14:textId="77777777" w:rsidR="00490E29" w:rsidRDefault="00490E29"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Dandora</w:t>
            </w:r>
            <w:proofErr w:type="spellEnd"/>
          </w:p>
          <w:p w14:paraId="2BF674A7" w14:textId="77777777" w:rsidR="00901AF2" w:rsidRDefault="00295A0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1 German Baraka</w:t>
            </w:r>
          </w:p>
          <w:p w14:paraId="28E606FB" w14:textId="77777777" w:rsidR="00414ACC" w:rsidRPr="003A5BB0" w:rsidRDefault="00414ACC"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Kariobangi</w:t>
            </w:r>
            <w:proofErr w:type="spellEnd"/>
          </w:p>
        </w:tc>
      </w:tr>
      <w:tr w:rsidR="00901AF2" w:rsidRPr="007A0B01" w14:paraId="60D3641E" w14:textId="77777777" w:rsidTr="003A5BB0">
        <w:trPr>
          <w:trHeight w:val="638"/>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61D3B756"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Starehe</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122D38D5"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Huruma</w:t>
            </w:r>
            <w:proofErr w:type="spellEnd"/>
            <w:r w:rsidRPr="003A5BB0">
              <w:rPr>
                <w:rFonts w:ascii="Arial" w:hAnsi="Arial" w:cs="Arial"/>
                <w:color w:val="222A35" w:themeColor="text2" w:themeShade="80"/>
                <w:sz w:val="16"/>
                <w:szCs w:val="16"/>
              </w:rPr>
              <w:t xml:space="preserve"> Lions Health Centre </w:t>
            </w:r>
          </w:p>
          <w:p w14:paraId="6BEA0E01"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Pangani</w:t>
            </w:r>
            <w:proofErr w:type="spellEnd"/>
            <w:r w:rsidRPr="003A5BB0">
              <w:rPr>
                <w:rFonts w:ascii="Arial" w:hAnsi="Arial" w:cs="Arial"/>
                <w:color w:val="222A35" w:themeColor="text2" w:themeShade="80"/>
                <w:sz w:val="16"/>
                <w:szCs w:val="16"/>
              </w:rPr>
              <w:t xml:space="preserve"> Health Centre</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0D283946" w14:textId="77777777" w:rsidR="00901AF2" w:rsidRDefault="00AC08B7"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Huruma</w:t>
            </w:r>
            <w:proofErr w:type="spellEnd"/>
            <w:r>
              <w:rPr>
                <w:rFonts w:ascii="Arial" w:hAnsi="Arial" w:cs="Arial"/>
                <w:color w:val="222A35" w:themeColor="text2" w:themeShade="80"/>
                <w:sz w:val="16"/>
                <w:szCs w:val="16"/>
              </w:rPr>
              <w:t xml:space="preserve"> </w:t>
            </w:r>
          </w:p>
          <w:p w14:paraId="5B29DE1D" w14:textId="77777777" w:rsidR="00405DFD" w:rsidRPr="003A5BB0" w:rsidRDefault="00405DFD"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Pangani</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703AD466" w14:textId="77777777" w:rsidR="00757BED" w:rsidRDefault="00220F30"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2</w:t>
            </w:r>
            <w:r w:rsidR="00490E29">
              <w:rPr>
                <w:rFonts w:ascii="Arial" w:hAnsi="Arial" w:cs="Arial"/>
                <w:color w:val="222A35" w:themeColor="text2" w:themeShade="80"/>
                <w:sz w:val="16"/>
                <w:szCs w:val="16"/>
              </w:rPr>
              <w:t xml:space="preserve"> </w:t>
            </w:r>
            <w:proofErr w:type="spellStart"/>
            <w:r w:rsidR="00490E29">
              <w:rPr>
                <w:rFonts w:ascii="Arial" w:hAnsi="Arial" w:cs="Arial"/>
                <w:color w:val="222A35" w:themeColor="text2" w:themeShade="80"/>
                <w:sz w:val="16"/>
                <w:szCs w:val="16"/>
              </w:rPr>
              <w:t>Huruma</w:t>
            </w:r>
            <w:proofErr w:type="spellEnd"/>
          </w:p>
          <w:p w14:paraId="1BF35367" w14:textId="77777777" w:rsidR="00901AF2" w:rsidRPr="003A5BB0" w:rsidRDefault="00757BED"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Pangani</w:t>
            </w:r>
            <w:proofErr w:type="spellEnd"/>
          </w:p>
        </w:tc>
      </w:tr>
      <w:tr w:rsidR="00901AF2" w:rsidRPr="007A0B01" w14:paraId="5730F2F6" w14:textId="77777777" w:rsidTr="003A5BB0">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28B4BA9A"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Ruaraka</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38676868"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Korogocho</w:t>
            </w:r>
            <w:proofErr w:type="spellEnd"/>
            <w:r w:rsidRPr="003A5BB0">
              <w:rPr>
                <w:rFonts w:ascii="Arial" w:hAnsi="Arial" w:cs="Arial"/>
                <w:color w:val="222A35" w:themeColor="text2" w:themeShade="80"/>
                <w:sz w:val="16"/>
                <w:szCs w:val="16"/>
              </w:rPr>
              <w:t xml:space="preserve"> Health Centre </w:t>
            </w:r>
          </w:p>
          <w:p w14:paraId="721D3C0A" w14:textId="77777777" w:rsidR="00901AF2" w:rsidRPr="003A5BB0" w:rsidRDefault="00901AF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Kahawa</w:t>
            </w:r>
            <w:proofErr w:type="spellEnd"/>
            <w:r w:rsidRPr="003A5BB0">
              <w:rPr>
                <w:rFonts w:ascii="Arial" w:hAnsi="Arial" w:cs="Arial"/>
                <w:color w:val="222A35" w:themeColor="text2" w:themeShade="80"/>
                <w:sz w:val="16"/>
                <w:szCs w:val="16"/>
              </w:rPr>
              <w:t xml:space="preserve"> West Health Centre</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669538CD" w14:textId="77777777" w:rsidR="002A6D8B" w:rsidRDefault="002A6D8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Korogocho</w:t>
            </w:r>
            <w:proofErr w:type="spellEnd"/>
          </w:p>
          <w:p w14:paraId="05B10357" w14:textId="77777777" w:rsidR="00901AF2" w:rsidRPr="003A5BB0" w:rsidRDefault="00376BD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Kahawa</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72D9E589" w14:textId="77777777" w:rsidR="002A6D8B" w:rsidRDefault="002A6D8B"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2 </w:t>
            </w:r>
            <w:proofErr w:type="spellStart"/>
            <w:r>
              <w:rPr>
                <w:rFonts w:ascii="Arial" w:hAnsi="Arial" w:cs="Arial"/>
                <w:color w:val="222A35" w:themeColor="text2" w:themeShade="80"/>
                <w:sz w:val="16"/>
                <w:szCs w:val="16"/>
              </w:rPr>
              <w:t>Korogocho</w:t>
            </w:r>
            <w:proofErr w:type="spellEnd"/>
          </w:p>
          <w:p w14:paraId="2C47BD2B" w14:textId="77777777" w:rsidR="00901AF2" w:rsidRPr="003A5BB0" w:rsidRDefault="00376BD2"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Kahawa</w:t>
            </w:r>
            <w:proofErr w:type="spellEnd"/>
          </w:p>
        </w:tc>
      </w:tr>
      <w:tr w:rsidR="00901AF2" w:rsidRPr="007A0B01" w14:paraId="602B22B2" w14:textId="77777777" w:rsidTr="003A5BB0">
        <w:trPr>
          <w:trHeight w:val="340"/>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BE5A721" w14:textId="77777777" w:rsidR="00901AF2" w:rsidRPr="003A5BB0" w:rsidRDefault="00901AF2"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Dagoreti</w:t>
            </w:r>
            <w:proofErr w:type="spellEnd"/>
            <w:r w:rsidRPr="003A5BB0">
              <w:rPr>
                <w:rFonts w:ascii="Arial" w:hAnsi="Arial" w:cs="Arial"/>
                <w:b w:val="0"/>
                <w:color w:val="222A35" w:themeColor="text2" w:themeShade="80"/>
                <w:sz w:val="16"/>
                <w:szCs w:val="16"/>
              </w:rPr>
              <w:t xml:space="preserve"> </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44955B7"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Riruta</w:t>
            </w:r>
            <w:proofErr w:type="spellEnd"/>
            <w:r w:rsidRPr="003A5BB0">
              <w:rPr>
                <w:rFonts w:ascii="Arial" w:hAnsi="Arial" w:cs="Arial"/>
                <w:color w:val="222A35" w:themeColor="text2" w:themeShade="80"/>
                <w:sz w:val="16"/>
                <w:szCs w:val="16"/>
              </w:rPr>
              <w:t xml:space="preserve"> Health Centre </w:t>
            </w:r>
          </w:p>
          <w:p w14:paraId="0C69EDDA" w14:textId="77777777" w:rsidR="00901AF2" w:rsidRPr="003A5BB0" w:rsidRDefault="00901AF2"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Waithaka</w:t>
            </w:r>
            <w:proofErr w:type="spellEnd"/>
            <w:r w:rsidRPr="003A5BB0">
              <w:rPr>
                <w:rFonts w:ascii="Arial" w:hAnsi="Arial" w:cs="Arial"/>
                <w:color w:val="222A35" w:themeColor="text2" w:themeShade="80"/>
                <w:sz w:val="16"/>
                <w:szCs w:val="16"/>
              </w:rPr>
              <w:t xml:space="preserve"> Health Centre</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6D689A7" w14:textId="77777777" w:rsidR="00901AF2" w:rsidRDefault="00757BED"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Riruta</w:t>
            </w:r>
            <w:proofErr w:type="spellEnd"/>
          </w:p>
          <w:p w14:paraId="7F6BB41D" w14:textId="77777777" w:rsidR="00757BED" w:rsidRPr="003A5BB0" w:rsidRDefault="00BB6FA4"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2</w:t>
            </w:r>
            <w:r w:rsidR="00757BED">
              <w:rPr>
                <w:rFonts w:ascii="Arial" w:hAnsi="Arial" w:cs="Arial"/>
                <w:color w:val="222A35" w:themeColor="text2" w:themeShade="80"/>
                <w:sz w:val="16"/>
                <w:szCs w:val="16"/>
              </w:rPr>
              <w:t xml:space="preserve"> </w:t>
            </w:r>
            <w:proofErr w:type="spellStart"/>
            <w:r w:rsidR="00757BED">
              <w:rPr>
                <w:rFonts w:ascii="Arial" w:hAnsi="Arial" w:cs="Arial"/>
                <w:color w:val="222A35" w:themeColor="text2" w:themeShade="80"/>
                <w:sz w:val="16"/>
                <w:szCs w:val="16"/>
              </w:rPr>
              <w:t>Waithaka</w:t>
            </w:r>
            <w:proofErr w:type="spellEnd"/>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61E9C4AE" w14:textId="77777777" w:rsidR="00901AF2" w:rsidRPr="003A5BB0" w:rsidRDefault="00757BED"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1 </w:t>
            </w:r>
            <w:proofErr w:type="spellStart"/>
            <w:r>
              <w:rPr>
                <w:rFonts w:ascii="Arial" w:hAnsi="Arial" w:cs="Arial"/>
                <w:color w:val="222A35" w:themeColor="text2" w:themeShade="80"/>
                <w:sz w:val="16"/>
                <w:szCs w:val="16"/>
              </w:rPr>
              <w:t>Riruta</w:t>
            </w:r>
            <w:proofErr w:type="spellEnd"/>
          </w:p>
        </w:tc>
      </w:tr>
      <w:tr w:rsidR="003A5BB0" w:rsidRPr="007A0B01" w14:paraId="7C7543DE" w14:textId="77777777" w:rsidTr="003A5B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71DEFE8C" w14:textId="77777777" w:rsidR="00901AF2" w:rsidRPr="003A5BB0" w:rsidRDefault="00901AF2" w:rsidP="00F43B8F">
            <w:pPr>
              <w:spacing w:before="60" w:after="60"/>
              <w:rPr>
                <w:rFonts w:ascii="Arial" w:hAnsi="Arial" w:cs="Arial"/>
                <w:b w:val="0"/>
                <w:color w:val="FFFFFF" w:themeColor="background1"/>
                <w:sz w:val="16"/>
                <w:szCs w:val="16"/>
              </w:rPr>
            </w:pPr>
            <w:r w:rsidRPr="003A5BB0">
              <w:rPr>
                <w:rFonts w:ascii="Arial" w:hAnsi="Arial" w:cs="Arial"/>
                <w:b w:val="0"/>
                <w:color w:val="FFFFFF" w:themeColor="background1"/>
                <w:sz w:val="16"/>
                <w:szCs w:val="16"/>
              </w:rPr>
              <w:t>Total</w:t>
            </w:r>
          </w:p>
        </w:tc>
        <w:tc>
          <w:tcPr>
            <w:tcW w:w="28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12D832AE" w14:textId="77777777" w:rsidR="00901AF2" w:rsidRPr="003A5BB0" w:rsidRDefault="0096178C" w:rsidP="002F336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2</w:t>
            </w:r>
            <w:r w:rsidR="002F336E">
              <w:rPr>
                <w:rFonts w:ascii="Arial" w:hAnsi="Arial" w:cs="Arial"/>
                <w:color w:val="FFFFFF" w:themeColor="background1"/>
                <w:sz w:val="16"/>
                <w:szCs w:val="16"/>
              </w:rPr>
              <w:t>1</w:t>
            </w:r>
            <w:r w:rsidR="00901AF2" w:rsidRPr="003A5BB0">
              <w:rPr>
                <w:rFonts w:ascii="Arial" w:hAnsi="Arial" w:cs="Arial"/>
                <w:color w:val="FFFFFF" w:themeColor="background1"/>
                <w:sz w:val="16"/>
                <w:szCs w:val="16"/>
              </w:rPr>
              <w:t xml:space="preserve"> health facilities</w:t>
            </w:r>
          </w:p>
        </w:tc>
        <w:tc>
          <w:tcPr>
            <w:tcW w:w="21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0B1CED65" w14:textId="77777777" w:rsidR="00901AF2" w:rsidRPr="003A5BB0" w:rsidRDefault="00755FA0"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 xml:space="preserve">28 </w:t>
            </w:r>
            <w:r w:rsidR="00901AF2" w:rsidRPr="003A5BB0">
              <w:rPr>
                <w:rFonts w:ascii="Arial" w:hAnsi="Arial" w:cs="Arial"/>
                <w:color w:val="FFFFFF" w:themeColor="background1"/>
                <w:sz w:val="16"/>
                <w:szCs w:val="16"/>
              </w:rPr>
              <w:t>health workers</w:t>
            </w:r>
          </w:p>
        </w:tc>
        <w:tc>
          <w:tcPr>
            <w:tcW w:w="25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6FCBE74C" w14:textId="6F20E300" w:rsidR="00901AF2" w:rsidRPr="003A5BB0" w:rsidRDefault="00755FA0" w:rsidP="000B55B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25</w:t>
            </w:r>
            <w:r w:rsidR="00901AF2" w:rsidRPr="003A5BB0">
              <w:rPr>
                <w:rFonts w:ascii="Arial" w:hAnsi="Arial" w:cs="Arial"/>
                <w:color w:val="FFFFFF" w:themeColor="background1"/>
                <w:sz w:val="16"/>
                <w:szCs w:val="16"/>
              </w:rPr>
              <w:t xml:space="preserve"> </w:t>
            </w:r>
            <w:r w:rsidR="000B55BD">
              <w:rPr>
                <w:rFonts w:ascii="Arial" w:hAnsi="Arial" w:cs="Arial"/>
                <w:color w:val="FFFFFF" w:themeColor="background1"/>
                <w:sz w:val="16"/>
                <w:szCs w:val="16"/>
              </w:rPr>
              <w:t>caretakers</w:t>
            </w:r>
          </w:p>
        </w:tc>
      </w:tr>
    </w:tbl>
    <w:p w14:paraId="39B9A631" w14:textId="77777777" w:rsidR="00AD62F0" w:rsidRPr="00EC7575" w:rsidRDefault="00AE6578" w:rsidP="00E8411E">
      <w:pPr>
        <w:pStyle w:val="Heading1"/>
        <w:numPr>
          <w:ilvl w:val="0"/>
          <w:numId w:val="11"/>
        </w:numPr>
        <w:rPr>
          <w:b/>
        </w:rPr>
      </w:pPr>
      <w:bookmarkStart w:id="6" w:name="_Toc428029659"/>
      <w:r>
        <w:rPr>
          <w:b/>
        </w:rPr>
        <w:t>Analytical Framework</w:t>
      </w:r>
      <w:bookmarkEnd w:id="6"/>
    </w:p>
    <w:p w14:paraId="22297A19" w14:textId="77777777" w:rsidR="003C00F5" w:rsidRDefault="00645AC2" w:rsidP="00127CDF">
      <w:pPr>
        <w:spacing w:before="120"/>
        <w:rPr>
          <w:rFonts w:cstheme="minorHAnsi"/>
          <w:sz w:val="20"/>
          <w:szCs w:val="20"/>
        </w:rPr>
      </w:pPr>
      <w:r>
        <w:rPr>
          <w:noProof/>
          <w:lang w:val="en-IE" w:eastAsia="en-IE"/>
        </w:rPr>
        <w:drawing>
          <wp:anchor distT="0" distB="0" distL="114300" distR="114300" simplePos="0" relativeHeight="251657728" behindDoc="0" locked="0" layoutInCell="1" allowOverlap="1" wp14:anchorId="61AF20DC" wp14:editId="168C7AC1">
            <wp:simplePos x="0" y="0"/>
            <wp:positionH relativeFrom="column">
              <wp:posOffset>3810000</wp:posOffset>
            </wp:positionH>
            <wp:positionV relativeFrom="paragraph">
              <wp:posOffset>182245</wp:posOffset>
            </wp:positionV>
            <wp:extent cx="2134870" cy="20859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20859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59776" behindDoc="0" locked="0" layoutInCell="1" allowOverlap="1" wp14:anchorId="3945381F" wp14:editId="2F86CE8F">
                <wp:simplePos x="0" y="0"/>
                <wp:positionH relativeFrom="margin">
                  <wp:posOffset>3797300</wp:posOffset>
                </wp:positionH>
                <wp:positionV relativeFrom="paragraph">
                  <wp:posOffset>2344420</wp:posOffset>
                </wp:positionV>
                <wp:extent cx="1971040" cy="1562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71040" cy="156210"/>
                        </a:xfrm>
                        <a:prstGeom prst="rect">
                          <a:avLst/>
                        </a:prstGeom>
                        <a:solidFill>
                          <a:prstClr val="white"/>
                        </a:solidFill>
                        <a:ln>
                          <a:noFill/>
                        </a:ln>
                        <a:effectLst/>
                      </wps:spPr>
                      <wps:txbx>
                        <w:txbxContent>
                          <w:p w14:paraId="607B41F0" w14:textId="77777777" w:rsidR="00C83111" w:rsidRPr="00D04028" w:rsidRDefault="00C83111" w:rsidP="00127CDF">
                            <w:pPr>
                              <w:pStyle w:val="Caption"/>
                              <w:jc w:val="center"/>
                              <w:rPr>
                                <w:rFonts w:eastAsiaTheme="minorHAnsi"/>
                                <w:noProof/>
                              </w:rPr>
                            </w:pPr>
                            <w:r>
                              <w:t xml:space="preserve">Figure </w:t>
                            </w:r>
                            <w:r w:rsidR="009922DB">
                              <w:fldChar w:fldCharType="begin"/>
                            </w:r>
                            <w:r w:rsidR="009922DB">
                              <w:instrText xml:space="preserve"> SEQ Figure \* ARABIC </w:instrText>
                            </w:r>
                            <w:r w:rsidR="009922DB">
                              <w:fldChar w:fldCharType="separate"/>
                            </w:r>
                            <w:r w:rsidR="00D47127">
                              <w:rPr>
                                <w:noProof/>
                              </w:rPr>
                              <w:t>1</w:t>
                            </w:r>
                            <w:r w:rsidR="009922DB">
                              <w:rPr>
                                <w:noProof/>
                              </w:rPr>
                              <w:fldChar w:fldCharType="end"/>
                            </w:r>
                            <w:r>
                              <w:t>: Health system building blocks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5381F" id="Text Box 1" o:spid="_x0000_s1030" type="#_x0000_t202" style="position:absolute;left:0;text-align:left;margin-left:299pt;margin-top:184.6pt;width:155.2pt;height:12.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" stroked="f">
                <v:textbox inset="0,0,0,0">
                  <w:txbxContent>
                    <w:p w14:paraId="607B41F0" w14:textId="77777777" w:rsidR="00C83111" w:rsidRPr="00D04028" w:rsidRDefault="00C83111" w:rsidP="00127CDF">
                      <w:pPr>
                        <w:pStyle w:val="Caption"/>
                        <w:jc w:val="center"/>
                        <w:rPr>
                          <w:rFonts w:eastAsiaTheme="minorHAnsi"/>
                          <w:noProof/>
                        </w:rPr>
                      </w:pPr>
                      <w:r>
                        <w:t xml:space="preserve">Figure </w:t>
                      </w:r>
                      <w:r w:rsidR="00FB5748">
                        <w:fldChar w:fldCharType="begin"/>
                      </w:r>
                      <w:r w:rsidR="00FB5748">
                        <w:instrText xml:space="preserve"> SEQ Figure \* ARABIC </w:instrText>
                      </w:r>
                      <w:r w:rsidR="00FB5748">
                        <w:fldChar w:fldCharType="separate"/>
                      </w:r>
                      <w:r w:rsidR="00D47127">
                        <w:rPr>
                          <w:noProof/>
                        </w:rPr>
                        <w:t>1</w:t>
                      </w:r>
                      <w:r w:rsidR="00FB5748">
                        <w:rPr>
                          <w:noProof/>
                        </w:rPr>
                        <w:fldChar w:fldCharType="end"/>
                      </w:r>
                      <w:r>
                        <w:t>: Health system building blocks</w:t>
                      </w:r>
                    </w:p>
                  </w:txbxContent>
                </v:textbox>
                <w10:wrap type="square" anchorx="margin"/>
              </v:shape>
            </w:pict>
          </mc:Fallback>
        </mc:AlternateContent>
      </w:r>
      <w:r w:rsidR="003C00F5" w:rsidRPr="004E6BA2">
        <w:rPr>
          <w:rFonts w:cstheme="minorHAnsi"/>
          <w:sz w:val="20"/>
          <w:szCs w:val="20"/>
        </w:rPr>
        <w:t xml:space="preserve">The WHO has developed a framework to promote </w:t>
      </w:r>
      <w:r w:rsidR="00613618">
        <w:rPr>
          <w:rFonts w:cstheme="minorHAnsi"/>
          <w:sz w:val="20"/>
          <w:szCs w:val="20"/>
        </w:rPr>
        <w:t xml:space="preserve">a </w:t>
      </w:r>
      <w:r w:rsidR="003C00F5" w:rsidRPr="004E6BA2">
        <w:rPr>
          <w:rFonts w:cstheme="minorHAnsi"/>
          <w:sz w:val="20"/>
          <w:szCs w:val="20"/>
        </w:rPr>
        <w:t>common understanding of what a health system is and what constitutes health systems strengthening.</w:t>
      </w:r>
      <w:r w:rsidR="003C00F5" w:rsidRPr="004E6BA2">
        <w:rPr>
          <w:rStyle w:val="FootnoteReference"/>
          <w:rFonts w:cstheme="minorHAnsi"/>
          <w:sz w:val="20"/>
          <w:szCs w:val="20"/>
        </w:rPr>
        <w:footnoteReference w:id="2"/>
      </w:r>
      <w:r w:rsidR="003C00F5" w:rsidRPr="004E6BA2">
        <w:rPr>
          <w:rFonts w:cstheme="minorHAnsi"/>
          <w:sz w:val="20"/>
          <w:szCs w:val="20"/>
        </w:rPr>
        <w:t xml:space="preserve">  A health system consists of all organizations, people and actions whose </w:t>
      </w:r>
      <w:r w:rsidR="003C00F5" w:rsidRPr="004E6BA2">
        <w:rPr>
          <w:rFonts w:cstheme="minorHAnsi"/>
          <w:i/>
          <w:iCs/>
          <w:sz w:val="20"/>
          <w:szCs w:val="20"/>
        </w:rPr>
        <w:t xml:space="preserve">primary intent </w:t>
      </w:r>
      <w:r w:rsidR="003C00F5" w:rsidRPr="004E6BA2">
        <w:rPr>
          <w:rFonts w:cstheme="minorHAnsi"/>
          <w:sz w:val="20"/>
          <w:szCs w:val="20"/>
        </w:rPr>
        <w:t xml:space="preserve">is to promote, restore or maintain health. The WHO framework defines six discrete “building blocks” that make up the system (figure 1). </w:t>
      </w:r>
      <w:r w:rsidR="003C00F5" w:rsidRPr="00AE6578">
        <w:rPr>
          <w:rFonts w:cstheme="minorHAnsi"/>
          <w:sz w:val="20"/>
          <w:szCs w:val="20"/>
        </w:rPr>
        <w:t xml:space="preserve">The WHO views a health system as more than a pyramid of publicly owned facilities that deliver personal health services. In their view, it includes a mother caring for a sick child at home; private providers; </w:t>
      </w:r>
      <w:proofErr w:type="spellStart"/>
      <w:r w:rsidR="003C00F5" w:rsidRPr="00AE6578">
        <w:rPr>
          <w:rFonts w:cstheme="minorHAnsi"/>
          <w:sz w:val="20"/>
          <w:szCs w:val="20"/>
        </w:rPr>
        <w:t>behaviour</w:t>
      </w:r>
      <w:proofErr w:type="spellEnd"/>
      <w:r w:rsidR="003C00F5" w:rsidRPr="00AE6578">
        <w:rPr>
          <w:rFonts w:cstheme="minorHAnsi"/>
          <w:sz w:val="20"/>
          <w:szCs w:val="20"/>
        </w:rPr>
        <w:t xml:space="preserve"> change </w:t>
      </w:r>
      <w:r w:rsidR="00AE6578">
        <w:rPr>
          <w:rFonts w:cstheme="minorHAnsi"/>
          <w:sz w:val="20"/>
          <w:szCs w:val="20"/>
        </w:rPr>
        <w:t>interventions</w:t>
      </w:r>
      <w:r w:rsidR="003C00F5" w:rsidRPr="00AE6578">
        <w:rPr>
          <w:rFonts w:cstheme="minorHAnsi"/>
          <w:sz w:val="20"/>
          <w:szCs w:val="20"/>
        </w:rPr>
        <w:t>; and inter-sectoral action</w:t>
      </w:r>
      <w:r w:rsidR="00AE6578">
        <w:rPr>
          <w:rFonts w:cstheme="minorHAnsi"/>
          <w:sz w:val="20"/>
          <w:szCs w:val="20"/>
        </w:rPr>
        <w:t>, to name but a few</w:t>
      </w:r>
      <w:r w:rsidR="003C00F5" w:rsidRPr="00AE6578">
        <w:rPr>
          <w:rFonts w:cstheme="minorHAnsi"/>
          <w:sz w:val="20"/>
          <w:szCs w:val="20"/>
        </w:rPr>
        <w:t xml:space="preserve">. </w:t>
      </w:r>
      <w:r w:rsidR="00127CDF">
        <w:rPr>
          <w:rFonts w:cstheme="minorHAnsi"/>
          <w:sz w:val="20"/>
          <w:szCs w:val="20"/>
        </w:rPr>
        <w:t xml:space="preserve">People feature at the </w:t>
      </w:r>
      <w:proofErr w:type="spellStart"/>
      <w:r w:rsidR="00127CDF">
        <w:rPr>
          <w:rFonts w:cstheme="minorHAnsi"/>
          <w:sz w:val="20"/>
          <w:szCs w:val="20"/>
        </w:rPr>
        <w:t>centre</w:t>
      </w:r>
      <w:proofErr w:type="spellEnd"/>
      <w:r w:rsidR="00127CDF">
        <w:rPr>
          <w:rFonts w:cstheme="minorHAnsi"/>
          <w:sz w:val="20"/>
          <w:szCs w:val="20"/>
        </w:rPr>
        <w:t xml:space="preserve"> of the WHO framework, a reminder that health systems – and their constituent building blocks – should be people-</w:t>
      </w:r>
      <w:proofErr w:type="spellStart"/>
      <w:r w:rsidR="00127CDF">
        <w:rPr>
          <w:rFonts w:cstheme="minorHAnsi"/>
          <w:sz w:val="20"/>
          <w:szCs w:val="20"/>
        </w:rPr>
        <w:t>centred</w:t>
      </w:r>
      <w:proofErr w:type="spellEnd"/>
      <w:r w:rsidR="00127CDF">
        <w:rPr>
          <w:rFonts w:cstheme="minorHAnsi"/>
          <w:sz w:val="20"/>
          <w:szCs w:val="20"/>
        </w:rPr>
        <w:t xml:space="preserve">, designed to be responsive to the needs of the communities they serve. </w:t>
      </w:r>
      <w:r w:rsidR="00AE6578">
        <w:rPr>
          <w:rFonts w:cstheme="minorHAnsi"/>
          <w:sz w:val="20"/>
          <w:szCs w:val="20"/>
        </w:rPr>
        <w:t xml:space="preserve">This broad interpretation of a health system has been employed for this review. </w:t>
      </w:r>
    </w:p>
    <w:p w14:paraId="2C3DD1D2" w14:textId="77777777" w:rsidR="00127CDF" w:rsidRDefault="00127CDF" w:rsidP="00127CDF">
      <w:pPr>
        <w:spacing w:before="120"/>
        <w:rPr>
          <w:rFonts w:cstheme="minorHAnsi"/>
          <w:sz w:val="20"/>
          <w:szCs w:val="20"/>
        </w:rPr>
      </w:pPr>
      <w:r>
        <w:rPr>
          <w:rFonts w:cstheme="minorHAnsi"/>
          <w:sz w:val="20"/>
          <w:szCs w:val="20"/>
        </w:rPr>
        <w:t>To understand the myriad barriers that exist in accessing health services, an analytical framework</w:t>
      </w:r>
      <w:r w:rsidR="004618A9">
        <w:rPr>
          <w:rFonts w:cstheme="minorHAnsi"/>
          <w:sz w:val="20"/>
          <w:szCs w:val="20"/>
        </w:rPr>
        <w:t xml:space="preserve"> (Table </w:t>
      </w:r>
      <w:r w:rsidR="00DD7BF1">
        <w:rPr>
          <w:rFonts w:cstheme="minorHAnsi"/>
          <w:sz w:val="20"/>
          <w:szCs w:val="20"/>
        </w:rPr>
        <w:t>2</w:t>
      </w:r>
      <w:r w:rsidR="004618A9">
        <w:rPr>
          <w:rFonts w:cstheme="minorHAnsi"/>
          <w:sz w:val="20"/>
          <w:szCs w:val="20"/>
        </w:rPr>
        <w:t>)</w:t>
      </w:r>
      <w:r>
        <w:rPr>
          <w:rFonts w:cstheme="minorHAnsi"/>
          <w:sz w:val="20"/>
          <w:szCs w:val="20"/>
        </w:rPr>
        <w:t>, ad</w:t>
      </w:r>
      <w:r w:rsidR="00613618">
        <w:rPr>
          <w:rFonts w:cstheme="minorHAnsi"/>
          <w:sz w:val="20"/>
          <w:szCs w:val="20"/>
        </w:rPr>
        <w:t>o</w:t>
      </w:r>
      <w:r>
        <w:rPr>
          <w:rFonts w:cstheme="minorHAnsi"/>
          <w:sz w:val="20"/>
          <w:szCs w:val="20"/>
        </w:rPr>
        <w:t xml:space="preserve">pted from Jacobs </w:t>
      </w:r>
      <w:r w:rsidRPr="00127CDF">
        <w:rPr>
          <w:rFonts w:cstheme="minorHAnsi"/>
          <w:i/>
          <w:sz w:val="20"/>
          <w:szCs w:val="20"/>
        </w:rPr>
        <w:t>et al</w:t>
      </w:r>
      <w:r>
        <w:rPr>
          <w:rFonts w:cstheme="minorHAnsi"/>
          <w:sz w:val="20"/>
          <w:szCs w:val="20"/>
        </w:rPr>
        <w:t xml:space="preserve"> (2012) was employed. </w:t>
      </w:r>
      <w:r w:rsidR="00F7122E">
        <w:rPr>
          <w:rFonts w:cstheme="minorHAnsi"/>
          <w:sz w:val="20"/>
          <w:szCs w:val="20"/>
        </w:rPr>
        <w:t xml:space="preserve">This </w:t>
      </w:r>
      <w:proofErr w:type="spellStart"/>
      <w:r w:rsidR="00F7122E">
        <w:rPr>
          <w:rFonts w:cstheme="minorHAnsi"/>
          <w:sz w:val="20"/>
          <w:szCs w:val="20"/>
        </w:rPr>
        <w:t>recognises</w:t>
      </w:r>
      <w:proofErr w:type="spellEnd"/>
      <w:r w:rsidR="00F7122E">
        <w:rPr>
          <w:rFonts w:cstheme="minorHAnsi"/>
          <w:sz w:val="20"/>
          <w:szCs w:val="20"/>
        </w:rPr>
        <w:t xml:space="preserve"> that barriers exist and interact on both the supply and demand side. </w:t>
      </w:r>
      <w:r w:rsidR="00F7122E" w:rsidRPr="00F7122E">
        <w:rPr>
          <w:rFonts w:cstheme="minorHAnsi"/>
          <w:sz w:val="20"/>
          <w:szCs w:val="20"/>
        </w:rPr>
        <w:t xml:space="preserve">Demand-side determinants are factors influencing the ability to use health services at individual, household or community level, while supply-side determinants are aspects inherent to the health system that hinder service uptake by individuals, households or the community. The need to differentiate demand-side from supply-side barriers is related to the formulation of appropriate interventions, although </w:t>
      </w:r>
      <w:r w:rsidR="00F7122E">
        <w:rPr>
          <w:rFonts w:cstheme="minorHAnsi"/>
          <w:sz w:val="20"/>
          <w:szCs w:val="20"/>
        </w:rPr>
        <w:t xml:space="preserve">it is </w:t>
      </w:r>
      <w:r w:rsidR="00F7122E" w:rsidRPr="00F7122E">
        <w:rPr>
          <w:rFonts w:cstheme="minorHAnsi"/>
          <w:sz w:val="20"/>
          <w:szCs w:val="20"/>
        </w:rPr>
        <w:t>note</w:t>
      </w:r>
      <w:r w:rsidR="00F7122E">
        <w:rPr>
          <w:rFonts w:cstheme="minorHAnsi"/>
          <w:sz w:val="20"/>
          <w:szCs w:val="20"/>
        </w:rPr>
        <w:t>d</w:t>
      </w:r>
      <w:r w:rsidR="00F7122E" w:rsidRPr="00F7122E">
        <w:rPr>
          <w:rFonts w:cstheme="minorHAnsi"/>
          <w:sz w:val="20"/>
          <w:szCs w:val="20"/>
        </w:rPr>
        <w:t xml:space="preserve"> that both sides have to be addressed concurrently</w:t>
      </w:r>
      <w:r w:rsidR="00F7122E">
        <w:rPr>
          <w:rStyle w:val="FootnoteReference"/>
          <w:rFonts w:cstheme="minorHAnsi"/>
          <w:sz w:val="20"/>
          <w:szCs w:val="20"/>
        </w:rPr>
        <w:footnoteReference w:id="3"/>
      </w:r>
      <w:r w:rsidR="00F7122E" w:rsidRPr="00F7122E">
        <w:rPr>
          <w:rFonts w:cstheme="minorHAnsi"/>
          <w:sz w:val="20"/>
          <w:szCs w:val="20"/>
        </w:rPr>
        <w:t>.</w:t>
      </w:r>
      <w:r w:rsidR="00F7122E">
        <w:rPr>
          <w:rFonts w:cstheme="minorHAnsi"/>
          <w:sz w:val="20"/>
          <w:szCs w:val="20"/>
        </w:rPr>
        <w:t xml:space="preserve"> </w:t>
      </w:r>
    </w:p>
    <w:p w14:paraId="5B9B5E3E" w14:textId="77777777" w:rsidR="00647A34" w:rsidRDefault="00647A34" w:rsidP="00127CDF">
      <w:pPr>
        <w:spacing w:before="120"/>
        <w:rPr>
          <w:rFonts w:cstheme="minorHAnsi"/>
          <w:sz w:val="20"/>
          <w:szCs w:val="20"/>
        </w:rPr>
      </w:pPr>
    </w:p>
    <w:p w14:paraId="5C4AB234" w14:textId="77777777" w:rsidR="00647A34" w:rsidRDefault="00647A34" w:rsidP="00127CDF">
      <w:pPr>
        <w:spacing w:before="120"/>
        <w:rPr>
          <w:rFonts w:cstheme="minorHAnsi"/>
          <w:sz w:val="20"/>
          <w:szCs w:val="20"/>
        </w:rPr>
      </w:pPr>
    </w:p>
    <w:p w14:paraId="38A350E7" w14:textId="77777777" w:rsidR="00647A34" w:rsidRDefault="00647A34" w:rsidP="00127CDF">
      <w:pPr>
        <w:spacing w:before="120"/>
        <w:rPr>
          <w:rFonts w:cstheme="minorHAnsi"/>
          <w:sz w:val="20"/>
          <w:szCs w:val="20"/>
        </w:rPr>
      </w:pPr>
    </w:p>
    <w:p w14:paraId="5AA73CBB" w14:textId="77777777" w:rsidR="003C00F5" w:rsidRPr="00AA1643" w:rsidRDefault="003C00F5" w:rsidP="00AA1643">
      <w:pPr>
        <w:pStyle w:val="Caption"/>
        <w:spacing w:before="120" w:after="120"/>
        <w:rPr>
          <w:rFonts w:asciiTheme="minorHAnsi" w:hAnsiTheme="minorHAnsi" w:cstheme="minorHAnsi"/>
          <w:color w:val="5B9BD5" w:themeColor="accent1"/>
          <w:sz w:val="16"/>
          <w:szCs w:val="16"/>
          <w:lang w:val="en-GB"/>
        </w:rPr>
      </w:pPr>
      <w:r w:rsidRPr="00AA1643">
        <w:rPr>
          <w:rFonts w:asciiTheme="minorHAnsi" w:hAnsiTheme="minorHAnsi" w:cstheme="minorHAnsi"/>
          <w:color w:val="5B9BD5" w:themeColor="accent1"/>
          <w:sz w:val="16"/>
          <w:szCs w:val="16"/>
        </w:rPr>
        <w:t xml:space="preserve">Table </w:t>
      </w:r>
      <w:r w:rsidRPr="00AA1643">
        <w:rPr>
          <w:rFonts w:asciiTheme="minorHAnsi" w:hAnsiTheme="minorHAnsi" w:cstheme="minorHAnsi"/>
          <w:color w:val="5B9BD5" w:themeColor="accent1"/>
          <w:sz w:val="16"/>
          <w:szCs w:val="16"/>
        </w:rPr>
        <w:fldChar w:fldCharType="begin"/>
      </w:r>
      <w:r w:rsidRPr="00AA1643">
        <w:rPr>
          <w:rFonts w:asciiTheme="minorHAnsi" w:hAnsiTheme="minorHAnsi" w:cstheme="minorHAnsi"/>
          <w:color w:val="5B9BD5" w:themeColor="accent1"/>
          <w:sz w:val="16"/>
          <w:szCs w:val="16"/>
        </w:rPr>
        <w:instrText xml:space="preserve"> SEQ Table \* ARABIC </w:instrText>
      </w:r>
      <w:r w:rsidRPr="00AA1643">
        <w:rPr>
          <w:rFonts w:asciiTheme="minorHAnsi" w:hAnsiTheme="minorHAnsi" w:cstheme="minorHAnsi"/>
          <w:color w:val="5B9BD5" w:themeColor="accent1"/>
          <w:sz w:val="16"/>
          <w:szCs w:val="16"/>
        </w:rPr>
        <w:fldChar w:fldCharType="separate"/>
      </w:r>
      <w:r w:rsidR="00D47127">
        <w:rPr>
          <w:rFonts w:asciiTheme="minorHAnsi" w:hAnsiTheme="minorHAnsi" w:cstheme="minorHAnsi"/>
          <w:noProof/>
          <w:color w:val="5B9BD5" w:themeColor="accent1"/>
          <w:sz w:val="16"/>
          <w:szCs w:val="16"/>
        </w:rPr>
        <w:t>2</w:t>
      </w:r>
      <w:r w:rsidRPr="00AA1643">
        <w:rPr>
          <w:rFonts w:asciiTheme="minorHAnsi" w:hAnsiTheme="minorHAnsi" w:cstheme="minorHAnsi"/>
          <w:color w:val="5B9BD5" w:themeColor="accent1"/>
          <w:sz w:val="16"/>
          <w:szCs w:val="16"/>
        </w:rPr>
        <w:fldChar w:fldCharType="end"/>
      </w:r>
      <w:r w:rsidRPr="00AA1643">
        <w:rPr>
          <w:rFonts w:asciiTheme="minorHAnsi" w:hAnsiTheme="minorHAnsi" w:cstheme="minorHAnsi"/>
          <w:color w:val="5B9BD5" w:themeColor="accent1"/>
          <w:sz w:val="16"/>
          <w:szCs w:val="16"/>
        </w:rPr>
        <w:t>:</w:t>
      </w:r>
      <w:r w:rsidRPr="00AA1643">
        <w:rPr>
          <w:rFonts w:asciiTheme="minorHAnsi" w:hAnsiTheme="minorHAnsi" w:cstheme="minorHAnsi"/>
          <w:color w:val="5B9BD5" w:themeColor="accent1"/>
          <w:sz w:val="16"/>
          <w:szCs w:val="16"/>
          <w:lang w:val="en-GB"/>
        </w:rPr>
        <w:t xml:space="preserve"> </w:t>
      </w:r>
      <w:r w:rsidR="00AE6578" w:rsidRPr="00AA1643">
        <w:rPr>
          <w:rFonts w:asciiTheme="minorHAnsi" w:hAnsiTheme="minorHAnsi" w:cstheme="minorHAnsi"/>
          <w:color w:val="5B9BD5" w:themeColor="accent1"/>
          <w:sz w:val="16"/>
          <w:szCs w:val="16"/>
          <w:lang w:val="en-GB"/>
        </w:rPr>
        <w:t xml:space="preserve">Analytical Framework </w:t>
      </w:r>
    </w:p>
    <w:tbl>
      <w:tblPr>
        <w:tblW w:w="9327"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4467"/>
        <w:gridCol w:w="4860"/>
      </w:tblGrid>
      <w:tr w:rsidR="006D151B" w:rsidRPr="00383533" w14:paraId="6F6C38C1" w14:textId="77777777" w:rsidTr="00645AC2">
        <w:tc>
          <w:tcPr>
            <w:tcW w:w="4467" w:type="dxa"/>
            <w:shd w:val="clear" w:color="auto" w:fill="17365D"/>
          </w:tcPr>
          <w:p w14:paraId="5CD1AACC" w14:textId="77777777" w:rsidR="006D151B" w:rsidRPr="003A5BB0" w:rsidRDefault="006D151B" w:rsidP="00F43B8F">
            <w:pPr>
              <w:autoSpaceDE w:val="0"/>
              <w:autoSpaceDN w:val="0"/>
              <w:adjustRightInd w:val="0"/>
              <w:spacing w:before="120"/>
              <w:rPr>
                <w:rFonts w:ascii="Arial" w:hAnsi="Arial" w:cs="Arial"/>
                <w:color w:val="FFFFFF"/>
                <w:sz w:val="16"/>
                <w:szCs w:val="16"/>
                <w:lang w:val="en-GB" w:eastAsia="en-GB"/>
              </w:rPr>
            </w:pPr>
            <w:r w:rsidRPr="003A5BB0">
              <w:rPr>
                <w:rFonts w:ascii="Arial" w:hAnsi="Arial" w:cs="Arial"/>
                <w:color w:val="FFFFFF"/>
                <w:sz w:val="16"/>
                <w:szCs w:val="16"/>
                <w:lang w:val="en-GB" w:eastAsia="en-GB"/>
              </w:rPr>
              <w:t>Supply-side barriers</w:t>
            </w:r>
          </w:p>
        </w:tc>
        <w:tc>
          <w:tcPr>
            <w:tcW w:w="4860" w:type="dxa"/>
            <w:shd w:val="clear" w:color="auto" w:fill="17365D"/>
          </w:tcPr>
          <w:p w14:paraId="72923E48" w14:textId="77777777" w:rsidR="006D151B" w:rsidRPr="003A5BB0" w:rsidRDefault="006D151B" w:rsidP="00F43B8F">
            <w:pPr>
              <w:autoSpaceDE w:val="0"/>
              <w:autoSpaceDN w:val="0"/>
              <w:adjustRightInd w:val="0"/>
              <w:spacing w:before="120"/>
              <w:rPr>
                <w:rFonts w:ascii="Arial" w:hAnsi="Arial" w:cs="Arial"/>
                <w:color w:val="FFFFFF"/>
                <w:sz w:val="16"/>
                <w:szCs w:val="16"/>
                <w:lang w:val="en-GB" w:eastAsia="en-GB"/>
              </w:rPr>
            </w:pPr>
            <w:r w:rsidRPr="003A5BB0">
              <w:rPr>
                <w:rFonts w:ascii="Arial" w:hAnsi="Arial" w:cs="Arial"/>
                <w:color w:val="FFFFFF"/>
                <w:sz w:val="16"/>
                <w:szCs w:val="16"/>
                <w:lang w:val="en-GB" w:eastAsia="en-GB"/>
              </w:rPr>
              <w:t>Demand-side barriers</w:t>
            </w:r>
          </w:p>
        </w:tc>
      </w:tr>
      <w:tr w:rsidR="006D151B" w:rsidRPr="00383533" w14:paraId="5933459F" w14:textId="77777777" w:rsidTr="00645AC2">
        <w:tc>
          <w:tcPr>
            <w:tcW w:w="9327" w:type="dxa"/>
            <w:gridSpan w:val="2"/>
            <w:shd w:val="clear" w:color="auto" w:fill="808080" w:themeFill="background1" w:themeFillShade="80"/>
          </w:tcPr>
          <w:p w14:paraId="25CA33D5" w14:textId="77777777" w:rsidR="006D151B" w:rsidRPr="003A5BB0" w:rsidRDefault="006D151B" w:rsidP="00F43B8F">
            <w:pPr>
              <w:autoSpaceDE w:val="0"/>
              <w:autoSpaceDN w:val="0"/>
              <w:adjustRightInd w:val="0"/>
              <w:spacing w:before="60" w:after="60"/>
              <w:rPr>
                <w:rFonts w:ascii="Arial" w:hAnsi="Arial" w:cs="Arial"/>
                <w:sz w:val="16"/>
                <w:szCs w:val="16"/>
                <w:lang w:val="en-GB"/>
              </w:rPr>
            </w:pPr>
            <w:r w:rsidRPr="003A5BB0">
              <w:rPr>
                <w:rFonts w:ascii="Arial" w:hAnsi="Arial" w:cs="Arial"/>
                <w:sz w:val="16"/>
                <w:szCs w:val="16"/>
                <w:lang w:val="en-GB" w:eastAsia="en-GB"/>
              </w:rPr>
              <w:t>Geographic accessibility</w:t>
            </w:r>
          </w:p>
        </w:tc>
      </w:tr>
      <w:tr w:rsidR="006D151B" w:rsidRPr="00383533" w14:paraId="329607F2" w14:textId="77777777" w:rsidTr="00645AC2">
        <w:tc>
          <w:tcPr>
            <w:tcW w:w="4467" w:type="dxa"/>
            <w:shd w:val="clear" w:color="auto" w:fill="BFBFBF" w:themeFill="background1" w:themeFillShade="BF"/>
          </w:tcPr>
          <w:p w14:paraId="1F02DD66" w14:textId="77777777" w:rsidR="006D151B" w:rsidRPr="003A5BB0" w:rsidRDefault="006D151B" w:rsidP="006D151B">
            <w:pPr>
              <w:pStyle w:val="ListParagraph"/>
              <w:numPr>
                <w:ilvl w:val="0"/>
                <w:numId w:val="2"/>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Service location</w:t>
            </w:r>
          </w:p>
        </w:tc>
        <w:tc>
          <w:tcPr>
            <w:tcW w:w="4860" w:type="dxa"/>
            <w:shd w:val="clear" w:color="auto" w:fill="BFBFBF" w:themeFill="background1" w:themeFillShade="BF"/>
          </w:tcPr>
          <w:p w14:paraId="4BF45677" w14:textId="77777777" w:rsidR="006D151B" w:rsidRPr="003A5BB0" w:rsidRDefault="006D151B" w:rsidP="006D151B">
            <w:pPr>
              <w:pStyle w:val="ListParagraph"/>
              <w:numPr>
                <w:ilvl w:val="0"/>
                <w:numId w:val="2"/>
              </w:numPr>
              <w:autoSpaceDE w:val="0"/>
              <w:autoSpaceDN w:val="0"/>
              <w:adjustRightInd w:val="0"/>
              <w:spacing w:before="60" w:after="60"/>
              <w:rPr>
                <w:rFonts w:ascii="Arial" w:hAnsi="Arial" w:cs="Arial"/>
                <w:sz w:val="16"/>
                <w:szCs w:val="16"/>
                <w:lang w:val="en-GB"/>
              </w:rPr>
            </w:pPr>
            <w:r w:rsidRPr="003A5BB0">
              <w:rPr>
                <w:rFonts w:ascii="Arial" w:hAnsi="Arial" w:cs="Arial"/>
                <w:sz w:val="16"/>
                <w:szCs w:val="16"/>
                <w:lang w:val="en-GB"/>
              </w:rPr>
              <w:t>Indirect costs to households</w:t>
            </w:r>
          </w:p>
          <w:p w14:paraId="77A5E6D9" w14:textId="77777777" w:rsidR="006D151B" w:rsidRPr="003A5BB0" w:rsidRDefault="006D151B" w:rsidP="006D151B">
            <w:pPr>
              <w:pStyle w:val="ListParagraph"/>
              <w:numPr>
                <w:ilvl w:val="0"/>
                <w:numId w:val="2"/>
              </w:numPr>
              <w:autoSpaceDE w:val="0"/>
              <w:autoSpaceDN w:val="0"/>
              <w:adjustRightInd w:val="0"/>
              <w:spacing w:before="60" w:after="60"/>
              <w:rPr>
                <w:rFonts w:ascii="Arial" w:hAnsi="Arial" w:cs="Arial"/>
                <w:sz w:val="16"/>
                <w:szCs w:val="16"/>
                <w:lang w:val="en-GB"/>
              </w:rPr>
            </w:pPr>
            <w:r w:rsidRPr="003A5BB0">
              <w:rPr>
                <w:rFonts w:ascii="Arial" w:hAnsi="Arial" w:cs="Arial"/>
                <w:sz w:val="16"/>
                <w:szCs w:val="16"/>
                <w:lang w:val="en-GB"/>
              </w:rPr>
              <w:t>Means of transportation available</w:t>
            </w:r>
          </w:p>
        </w:tc>
      </w:tr>
      <w:tr w:rsidR="006D151B" w:rsidRPr="00383533" w14:paraId="79BBCBFD" w14:textId="77777777" w:rsidTr="00645AC2">
        <w:tc>
          <w:tcPr>
            <w:tcW w:w="9327" w:type="dxa"/>
            <w:gridSpan w:val="2"/>
            <w:shd w:val="clear" w:color="auto" w:fill="808080" w:themeFill="background1" w:themeFillShade="80"/>
          </w:tcPr>
          <w:p w14:paraId="40BBA528" w14:textId="77777777" w:rsidR="006D151B" w:rsidRPr="003A5BB0" w:rsidRDefault="006D151B" w:rsidP="00F43B8F">
            <w:pPr>
              <w:spacing w:before="60" w:after="60"/>
              <w:rPr>
                <w:rFonts w:ascii="Arial" w:hAnsi="Arial" w:cs="Arial"/>
                <w:sz w:val="16"/>
                <w:szCs w:val="16"/>
                <w:lang w:val="en-GB" w:eastAsia="en-GB"/>
              </w:rPr>
            </w:pPr>
            <w:r w:rsidRPr="003A5BB0">
              <w:rPr>
                <w:rFonts w:ascii="Arial" w:hAnsi="Arial" w:cs="Arial"/>
                <w:sz w:val="16"/>
                <w:szCs w:val="16"/>
                <w:lang w:val="en-GB" w:eastAsia="en-GB"/>
              </w:rPr>
              <w:t>Availability</w:t>
            </w:r>
          </w:p>
        </w:tc>
      </w:tr>
      <w:tr w:rsidR="006D151B" w:rsidRPr="00383533" w14:paraId="789820D0" w14:textId="77777777" w:rsidTr="00645AC2">
        <w:tc>
          <w:tcPr>
            <w:tcW w:w="4467" w:type="dxa"/>
            <w:shd w:val="clear" w:color="auto" w:fill="BFBFBF" w:themeFill="background1" w:themeFillShade="BF"/>
          </w:tcPr>
          <w:p w14:paraId="348DAEA8"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2727F2">
              <w:rPr>
                <w:rFonts w:ascii="Arial" w:hAnsi="Arial" w:cs="Arial"/>
                <w:sz w:val="16"/>
                <w:szCs w:val="16"/>
                <w:lang w:val="en-GB" w:eastAsia="en-GB"/>
              </w:rPr>
              <w:t>Unqualified health workers</w:t>
            </w:r>
            <w:r w:rsidRPr="00B63F3B">
              <w:rPr>
                <w:rFonts w:ascii="Arial" w:hAnsi="Arial" w:cs="Arial"/>
                <w:sz w:val="16"/>
                <w:szCs w:val="16"/>
                <w:lang w:val="en-GB" w:eastAsia="en-GB"/>
              </w:rPr>
              <w:t>, staff</w:t>
            </w:r>
            <w:r w:rsidRPr="003A5BB0">
              <w:rPr>
                <w:rFonts w:ascii="Arial" w:hAnsi="Arial" w:cs="Arial"/>
                <w:sz w:val="16"/>
                <w:szCs w:val="16"/>
                <w:lang w:val="en-GB" w:eastAsia="en-GB"/>
              </w:rPr>
              <w:t xml:space="preserve"> absenteeism, opening hours</w:t>
            </w:r>
          </w:p>
          <w:p w14:paraId="3A7245B6"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Waiting times</w:t>
            </w:r>
          </w:p>
          <w:p w14:paraId="4CE9396C"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Motivation of staff</w:t>
            </w:r>
          </w:p>
          <w:p w14:paraId="2A4CCA10"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Drugs and other consumables</w:t>
            </w:r>
          </w:p>
          <w:p w14:paraId="5EF09BE1"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Non-integration of health services</w:t>
            </w:r>
          </w:p>
          <w:p w14:paraId="4F98FF4C"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Lack of opportunity (exclusion from services)</w:t>
            </w:r>
          </w:p>
          <w:p w14:paraId="3B86EA6A" w14:textId="77777777" w:rsidR="006D151B" w:rsidRPr="003A5BB0" w:rsidRDefault="006D151B" w:rsidP="006D151B">
            <w:pPr>
              <w:pStyle w:val="ListParagraph"/>
              <w:numPr>
                <w:ilvl w:val="0"/>
                <w:numId w:val="3"/>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Late or no referral</w:t>
            </w:r>
          </w:p>
        </w:tc>
        <w:tc>
          <w:tcPr>
            <w:tcW w:w="4860" w:type="dxa"/>
            <w:shd w:val="clear" w:color="auto" w:fill="BFBFBF" w:themeFill="background1" w:themeFillShade="BF"/>
          </w:tcPr>
          <w:p w14:paraId="41DBBC40" w14:textId="77777777" w:rsidR="006D151B" w:rsidRPr="003A5BB0" w:rsidRDefault="006D151B" w:rsidP="006D151B">
            <w:pPr>
              <w:pStyle w:val="ListParagraph"/>
              <w:numPr>
                <w:ilvl w:val="0"/>
                <w:numId w:val="3"/>
              </w:numPr>
              <w:spacing w:before="60" w:after="60"/>
              <w:rPr>
                <w:rFonts w:ascii="Arial" w:hAnsi="Arial" w:cs="Arial"/>
                <w:sz w:val="16"/>
                <w:szCs w:val="16"/>
                <w:lang w:val="en-GB" w:eastAsia="en-GB"/>
              </w:rPr>
            </w:pPr>
            <w:r w:rsidRPr="003A5BB0">
              <w:rPr>
                <w:rFonts w:ascii="Arial" w:hAnsi="Arial" w:cs="Arial"/>
                <w:sz w:val="16"/>
                <w:szCs w:val="16"/>
                <w:lang w:val="en-GB" w:eastAsia="en-GB"/>
              </w:rPr>
              <w:t>Information on health care services, providers</w:t>
            </w:r>
          </w:p>
          <w:p w14:paraId="25D1B1A0" w14:textId="77777777" w:rsidR="006D151B" w:rsidRPr="003A5BB0" w:rsidRDefault="006D151B" w:rsidP="006D151B">
            <w:pPr>
              <w:pStyle w:val="ListParagraph"/>
              <w:numPr>
                <w:ilvl w:val="0"/>
                <w:numId w:val="3"/>
              </w:numPr>
              <w:spacing w:before="60" w:after="60"/>
              <w:rPr>
                <w:rFonts w:ascii="Arial" w:hAnsi="Arial" w:cs="Arial"/>
                <w:sz w:val="16"/>
                <w:szCs w:val="16"/>
                <w:lang w:val="en-GB" w:eastAsia="en-GB"/>
              </w:rPr>
            </w:pPr>
            <w:r w:rsidRPr="003A5BB0">
              <w:rPr>
                <w:rFonts w:ascii="Arial" w:hAnsi="Arial" w:cs="Arial"/>
                <w:sz w:val="16"/>
                <w:szCs w:val="16"/>
                <w:lang w:val="en-GB" w:eastAsia="en-GB"/>
              </w:rPr>
              <w:t>Education</w:t>
            </w:r>
          </w:p>
        </w:tc>
      </w:tr>
      <w:tr w:rsidR="006D151B" w:rsidRPr="00383533" w14:paraId="6458F606" w14:textId="77777777" w:rsidTr="00645AC2">
        <w:tc>
          <w:tcPr>
            <w:tcW w:w="9327" w:type="dxa"/>
            <w:gridSpan w:val="2"/>
            <w:shd w:val="clear" w:color="auto" w:fill="808080" w:themeFill="background1" w:themeFillShade="80"/>
          </w:tcPr>
          <w:p w14:paraId="7F2FB5A8" w14:textId="77777777" w:rsidR="006D151B" w:rsidRPr="003A5BB0" w:rsidRDefault="006D151B" w:rsidP="00F43B8F">
            <w:p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Affordability</w:t>
            </w:r>
          </w:p>
        </w:tc>
      </w:tr>
      <w:tr w:rsidR="006D151B" w:rsidRPr="00383533" w14:paraId="0659C8F8" w14:textId="77777777" w:rsidTr="00645AC2">
        <w:tc>
          <w:tcPr>
            <w:tcW w:w="4467" w:type="dxa"/>
            <w:shd w:val="clear" w:color="auto" w:fill="BFBFBF" w:themeFill="background1" w:themeFillShade="BF"/>
          </w:tcPr>
          <w:p w14:paraId="43E33818" w14:textId="77777777" w:rsidR="006D151B" w:rsidRPr="003A5BB0" w:rsidRDefault="006D151B" w:rsidP="006D151B">
            <w:pPr>
              <w:pStyle w:val="ListParagraph"/>
              <w:numPr>
                <w:ilvl w:val="0"/>
                <w:numId w:val="4"/>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Costs and prices of services, including informal payments</w:t>
            </w:r>
          </w:p>
          <w:p w14:paraId="7EEBCA7B" w14:textId="77777777" w:rsidR="006D151B" w:rsidRPr="003A5BB0" w:rsidRDefault="006D151B" w:rsidP="006D151B">
            <w:pPr>
              <w:pStyle w:val="ListParagraph"/>
              <w:numPr>
                <w:ilvl w:val="0"/>
                <w:numId w:val="4"/>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Private-public dual practices</w:t>
            </w:r>
          </w:p>
        </w:tc>
        <w:tc>
          <w:tcPr>
            <w:tcW w:w="4860" w:type="dxa"/>
            <w:shd w:val="clear" w:color="auto" w:fill="BFBFBF" w:themeFill="background1" w:themeFillShade="BF"/>
          </w:tcPr>
          <w:p w14:paraId="36C3C1C0" w14:textId="77777777" w:rsidR="006D151B" w:rsidRPr="003A5BB0" w:rsidRDefault="006D151B" w:rsidP="006D151B">
            <w:pPr>
              <w:pStyle w:val="ListParagraph"/>
              <w:numPr>
                <w:ilvl w:val="0"/>
                <w:numId w:val="4"/>
              </w:numPr>
              <w:spacing w:before="60" w:after="60"/>
              <w:rPr>
                <w:rFonts w:ascii="Arial" w:hAnsi="Arial" w:cs="Arial"/>
                <w:sz w:val="16"/>
                <w:szCs w:val="16"/>
                <w:lang w:val="en-GB" w:eastAsia="en-GB"/>
              </w:rPr>
            </w:pPr>
            <w:r w:rsidRPr="003A5BB0">
              <w:rPr>
                <w:rFonts w:ascii="Arial" w:hAnsi="Arial" w:cs="Arial"/>
                <w:sz w:val="16"/>
                <w:szCs w:val="16"/>
                <w:lang w:val="en-GB" w:eastAsia="en-GB"/>
              </w:rPr>
              <w:t>Household resources and willingness to pay</w:t>
            </w:r>
          </w:p>
          <w:p w14:paraId="0EECC057" w14:textId="77777777" w:rsidR="006D151B" w:rsidRPr="003A5BB0" w:rsidRDefault="006D151B" w:rsidP="006D151B">
            <w:pPr>
              <w:pStyle w:val="ListParagraph"/>
              <w:numPr>
                <w:ilvl w:val="0"/>
                <w:numId w:val="4"/>
              </w:numPr>
              <w:spacing w:before="60" w:after="60"/>
              <w:rPr>
                <w:rFonts w:ascii="Arial" w:hAnsi="Arial" w:cs="Arial"/>
                <w:sz w:val="16"/>
                <w:szCs w:val="16"/>
                <w:lang w:val="en-GB" w:eastAsia="en-GB"/>
              </w:rPr>
            </w:pPr>
            <w:r w:rsidRPr="003A5BB0">
              <w:rPr>
                <w:rFonts w:ascii="Arial" w:hAnsi="Arial" w:cs="Arial"/>
                <w:sz w:val="16"/>
                <w:szCs w:val="16"/>
                <w:lang w:val="en-GB" w:eastAsia="en-GB"/>
              </w:rPr>
              <w:t>Opportunity costs</w:t>
            </w:r>
          </w:p>
          <w:p w14:paraId="2B9B7810" w14:textId="77777777" w:rsidR="006D151B" w:rsidRPr="003A5BB0" w:rsidRDefault="006D151B" w:rsidP="006D151B">
            <w:pPr>
              <w:pStyle w:val="ListParagraph"/>
              <w:numPr>
                <w:ilvl w:val="0"/>
                <w:numId w:val="4"/>
              </w:numPr>
              <w:spacing w:before="60" w:after="60"/>
              <w:rPr>
                <w:rFonts w:ascii="Arial" w:hAnsi="Arial" w:cs="Arial"/>
                <w:sz w:val="16"/>
                <w:szCs w:val="16"/>
                <w:lang w:val="en-GB" w:eastAsia="en-GB"/>
              </w:rPr>
            </w:pPr>
            <w:r w:rsidRPr="003A5BB0">
              <w:rPr>
                <w:rFonts w:ascii="Arial" w:hAnsi="Arial" w:cs="Arial"/>
                <w:sz w:val="16"/>
                <w:szCs w:val="16"/>
                <w:lang w:val="en-GB" w:eastAsia="en-GB"/>
              </w:rPr>
              <w:t>Cash flow within society</w:t>
            </w:r>
          </w:p>
        </w:tc>
      </w:tr>
      <w:tr w:rsidR="006D151B" w:rsidRPr="00383533" w14:paraId="6145176C" w14:textId="77777777" w:rsidTr="00645AC2">
        <w:tc>
          <w:tcPr>
            <w:tcW w:w="9327" w:type="dxa"/>
            <w:gridSpan w:val="2"/>
            <w:shd w:val="clear" w:color="auto" w:fill="808080" w:themeFill="background1" w:themeFillShade="80"/>
          </w:tcPr>
          <w:p w14:paraId="3D7F8CB0" w14:textId="77777777" w:rsidR="006D151B" w:rsidRPr="003A5BB0" w:rsidRDefault="006D151B" w:rsidP="00F43B8F">
            <w:p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Acceptability</w:t>
            </w:r>
          </w:p>
        </w:tc>
      </w:tr>
      <w:tr w:rsidR="006D151B" w:rsidRPr="00383533" w14:paraId="28081E21" w14:textId="77777777" w:rsidTr="00645AC2">
        <w:tc>
          <w:tcPr>
            <w:tcW w:w="4467" w:type="dxa"/>
            <w:shd w:val="clear" w:color="auto" w:fill="BFBFBF" w:themeFill="background1" w:themeFillShade="BF"/>
          </w:tcPr>
          <w:p w14:paraId="32A0821F" w14:textId="77777777" w:rsidR="00E8411E" w:rsidRDefault="00E8411E" w:rsidP="00E8411E">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E8411E">
              <w:rPr>
                <w:rFonts w:ascii="Arial" w:hAnsi="Arial" w:cs="Arial"/>
                <w:sz w:val="16"/>
                <w:szCs w:val="16"/>
                <w:lang w:val="en-GB" w:eastAsia="en-GB"/>
              </w:rPr>
              <w:t xml:space="preserve">Complexity of billing system and inability for patients to know prices beforehand </w:t>
            </w:r>
          </w:p>
          <w:p w14:paraId="52ACAAB7" w14:textId="77777777" w:rsidR="002B0B39" w:rsidRPr="003A5BB0" w:rsidRDefault="006D151B" w:rsidP="002727F2">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Staff inte</w:t>
            </w:r>
            <w:r w:rsidR="002B0B39">
              <w:rPr>
                <w:rFonts w:ascii="Arial" w:hAnsi="Arial" w:cs="Arial"/>
                <w:sz w:val="16"/>
                <w:szCs w:val="16"/>
                <w:lang w:val="en-GB" w:eastAsia="en-GB"/>
              </w:rPr>
              <w:t>rpersonal skills including trus</w:t>
            </w:r>
            <w:r w:rsidR="002727F2">
              <w:rPr>
                <w:rFonts w:ascii="Arial" w:hAnsi="Arial" w:cs="Arial"/>
                <w:sz w:val="16"/>
                <w:szCs w:val="16"/>
                <w:lang w:val="en-GB" w:eastAsia="en-GB"/>
              </w:rPr>
              <w:t>t</w:t>
            </w:r>
          </w:p>
        </w:tc>
        <w:tc>
          <w:tcPr>
            <w:tcW w:w="4860" w:type="dxa"/>
            <w:shd w:val="clear" w:color="auto" w:fill="BFBFBF" w:themeFill="background1" w:themeFillShade="BF"/>
          </w:tcPr>
          <w:p w14:paraId="451E04F3" w14:textId="77777777" w:rsidR="006D151B" w:rsidRPr="003A5BB0" w:rsidRDefault="006D151B" w:rsidP="006D151B">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 xml:space="preserve">Household </w:t>
            </w:r>
            <w:r w:rsidR="004618A9">
              <w:rPr>
                <w:rFonts w:ascii="Arial" w:hAnsi="Arial" w:cs="Arial"/>
                <w:sz w:val="16"/>
                <w:szCs w:val="16"/>
                <w:lang w:val="en-GB" w:eastAsia="en-GB"/>
              </w:rPr>
              <w:t>characteristics</w:t>
            </w:r>
          </w:p>
          <w:p w14:paraId="2BB0A948" w14:textId="77777777" w:rsidR="006D151B" w:rsidRPr="003A5BB0" w:rsidRDefault="006D151B" w:rsidP="006D151B">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Low self-esteem and lack of assertiveness</w:t>
            </w:r>
          </w:p>
          <w:p w14:paraId="335B022E" w14:textId="77777777" w:rsidR="006D151B" w:rsidRPr="003A5BB0" w:rsidRDefault="006D151B" w:rsidP="006D151B">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Community and cultural preferences</w:t>
            </w:r>
          </w:p>
          <w:p w14:paraId="456F5C14" w14:textId="77777777" w:rsidR="006D151B" w:rsidRPr="003A5BB0" w:rsidRDefault="006D151B" w:rsidP="006D151B">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Stigma</w:t>
            </w:r>
          </w:p>
          <w:p w14:paraId="5C2C3C09" w14:textId="77777777" w:rsidR="006D151B" w:rsidRPr="003A5BB0" w:rsidRDefault="006D151B" w:rsidP="006D151B">
            <w:pPr>
              <w:pStyle w:val="ListParagraph"/>
              <w:numPr>
                <w:ilvl w:val="0"/>
                <w:numId w:val="5"/>
              </w:numPr>
              <w:autoSpaceDE w:val="0"/>
              <w:autoSpaceDN w:val="0"/>
              <w:adjustRightInd w:val="0"/>
              <w:spacing w:before="60" w:after="60"/>
              <w:rPr>
                <w:rFonts w:ascii="Arial" w:hAnsi="Arial" w:cs="Arial"/>
                <w:sz w:val="16"/>
                <w:szCs w:val="16"/>
                <w:lang w:val="en-GB" w:eastAsia="en-GB"/>
              </w:rPr>
            </w:pPr>
            <w:r w:rsidRPr="003A5BB0">
              <w:rPr>
                <w:rFonts w:ascii="Arial" w:hAnsi="Arial" w:cs="Arial"/>
                <w:sz w:val="16"/>
                <w:szCs w:val="16"/>
                <w:lang w:val="en-GB" w:eastAsia="en-GB"/>
              </w:rPr>
              <w:t>Lack of health awareness</w:t>
            </w:r>
          </w:p>
        </w:tc>
      </w:tr>
    </w:tbl>
    <w:p w14:paraId="5A78B14D" w14:textId="77777777" w:rsidR="004618A9" w:rsidRPr="004618A9" w:rsidRDefault="004618A9" w:rsidP="004618A9">
      <w:pPr>
        <w:rPr>
          <w:sz w:val="16"/>
          <w:szCs w:val="16"/>
          <w:lang w:val="en-GB" w:eastAsia="en-GB"/>
        </w:rPr>
      </w:pPr>
      <w:proofErr w:type="gramStart"/>
      <w:r w:rsidRPr="004618A9">
        <w:rPr>
          <w:sz w:val="16"/>
          <w:szCs w:val="16"/>
          <w:lang w:val="en-GB" w:eastAsia="en-GB"/>
        </w:rPr>
        <w:t xml:space="preserve">Adapted from Jacobs </w:t>
      </w:r>
      <w:r w:rsidRPr="004618A9">
        <w:rPr>
          <w:i/>
          <w:sz w:val="16"/>
          <w:szCs w:val="16"/>
          <w:lang w:val="en-GB" w:eastAsia="en-GB"/>
        </w:rPr>
        <w:t>et al</w:t>
      </w:r>
      <w:r w:rsidRPr="004618A9">
        <w:rPr>
          <w:sz w:val="16"/>
          <w:szCs w:val="16"/>
          <w:lang w:val="en-GB" w:eastAsia="en-GB"/>
        </w:rPr>
        <w:t>, 2012.</w:t>
      </w:r>
      <w:proofErr w:type="gramEnd"/>
      <w:r w:rsidRPr="004618A9">
        <w:rPr>
          <w:sz w:val="16"/>
          <w:szCs w:val="16"/>
          <w:lang w:val="en-GB" w:eastAsia="en-GB"/>
        </w:rPr>
        <w:t xml:space="preserve"> </w:t>
      </w:r>
    </w:p>
    <w:p w14:paraId="6336C497" w14:textId="77777777" w:rsidR="004618A9" w:rsidRPr="004618A9" w:rsidRDefault="004618A9" w:rsidP="00E8411E">
      <w:pPr>
        <w:pStyle w:val="Heading1"/>
        <w:numPr>
          <w:ilvl w:val="0"/>
          <w:numId w:val="11"/>
        </w:numPr>
        <w:rPr>
          <w:b/>
          <w:lang w:val="en-GB" w:eastAsia="en-GB"/>
        </w:rPr>
      </w:pPr>
      <w:bookmarkStart w:id="7" w:name="_Toc428029660"/>
      <w:r w:rsidRPr="004618A9">
        <w:rPr>
          <w:b/>
          <w:lang w:val="en-GB" w:eastAsia="en-GB"/>
        </w:rPr>
        <w:t>Findings</w:t>
      </w:r>
      <w:bookmarkEnd w:id="7"/>
    </w:p>
    <w:p w14:paraId="4720CB18" w14:textId="574AF917" w:rsidR="004618A9" w:rsidRPr="004618A9" w:rsidRDefault="004618A9" w:rsidP="004618A9">
      <w:pPr>
        <w:spacing w:before="120"/>
        <w:rPr>
          <w:sz w:val="20"/>
          <w:szCs w:val="20"/>
          <w:lang w:val="en-GB" w:eastAsia="en-GB"/>
        </w:rPr>
      </w:pPr>
      <w:r w:rsidRPr="004618A9">
        <w:rPr>
          <w:sz w:val="20"/>
          <w:szCs w:val="20"/>
          <w:lang w:val="en-GB" w:eastAsia="en-GB"/>
        </w:rPr>
        <w:t xml:space="preserve">Findings are </w:t>
      </w:r>
      <w:r>
        <w:rPr>
          <w:sz w:val="20"/>
          <w:szCs w:val="20"/>
          <w:lang w:val="en-GB" w:eastAsia="en-GB"/>
        </w:rPr>
        <w:t xml:space="preserve">arranged by </w:t>
      </w:r>
      <w:r w:rsidR="00695340">
        <w:rPr>
          <w:sz w:val="20"/>
          <w:szCs w:val="20"/>
          <w:lang w:val="en-GB" w:eastAsia="en-GB"/>
        </w:rPr>
        <w:t xml:space="preserve">barrier as well as </w:t>
      </w:r>
      <w:r>
        <w:rPr>
          <w:sz w:val="20"/>
          <w:szCs w:val="20"/>
          <w:lang w:val="en-GB" w:eastAsia="en-GB"/>
        </w:rPr>
        <w:t>their supply- and demand-side orientation</w:t>
      </w:r>
      <w:r w:rsidR="00295A03">
        <w:rPr>
          <w:sz w:val="20"/>
          <w:szCs w:val="20"/>
          <w:lang w:val="en-GB" w:eastAsia="en-GB"/>
        </w:rPr>
        <w:t xml:space="preserve"> </w:t>
      </w:r>
      <w:r w:rsidR="00AA1643">
        <w:rPr>
          <w:sz w:val="20"/>
          <w:szCs w:val="20"/>
          <w:lang w:val="en-GB" w:eastAsia="en-GB"/>
        </w:rPr>
        <w:t xml:space="preserve">based on the </w:t>
      </w:r>
      <w:r w:rsidR="00295A03">
        <w:rPr>
          <w:sz w:val="20"/>
          <w:szCs w:val="20"/>
          <w:lang w:val="en-GB" w:eastAsia="en-GB"/>
        </w:rPr>
        <w:t>analytical framework</w:t>
      </w:r>
      <w:r>
        <w:rPr>
          <w:sz w:val="20"/>
          <w:szCs w:val="20"/>
          <w:lang w:val="en-GB" w:eastAsia="en-GB"/>
        </w:rPr>
        <w:t xml:space="preserve">.  </w:t>
      </w:r>
    </w:p>
    <w:p w14:paraId="501C2352" w14:textId="77777777" w:rsidR="00EC7575" w:rsidRDefault="00645AC2" w:rsidP="004618A9">
      <w:pPr>
        <w:pStyle w:val="Heading2"/>
        <w:spacing w:before="120" w:after="120"/>
        <w:rPr>
          <w:rFonts w:ascii="Arial" w:hAnsi="Arial" w:cs="Arial"/>
          <w:b/>
          <w:sz w:val="24"/>
          <w:szCs w:val="24"/>
          <w:lang w:val="en-GB" w:eastAsia="en-GB"/>
        </w:rPr>
      </w:pPr>
      <w:bookmarkStart w:id="8" w:name="_Toc428029661"/>
      <w:r>
        <w:rPr>
          <w:rFonts w:ascii="Arial" w:hAnsi="Arial" w:cs="Arial"/>
          <w:b/>
          <w:sz w:val="24"/>
          <w:szCs w:val="24"/>
          <w:lang w:val="en-GB" w:eastAsia="en-GB"/>
        </w:rPr>
        <w:t>4</w:t>
      </w:r>
      <w:r w:rsidR="00E8411E">
        <w:rPr>
          <w:rFonts w:ascii="Arial" w:hAnsi="Arial" w:cs="Arial"/>
          <w:b/>
          <w:sz w:val="24"/>
          <w:szCs w:val="24"/>
          <w:lang w:val="en-GB" w:eastAsia="en-GB"/>
        </w:rPr>
        <w:t xml:space="preserve">.1 </w:t>
      </w:r>
      <w:r w:rsidR="00EC7575">
        <w:rPr>
          <w:rFonts w:ascii="Arial" w:hAnsi="Arial" w:cs="Arial"/>
          <w:b/>
          <w:sz w:val="24"/>
          <w:szCs w:val="24"/>
          <w:lang w:val="en-GB" w:eastAsia="en-GB"/>
        </w:rPr>
        <w:t>Accessibility</w:t>
      </w:r>
      <w:bookmarkEnd w:id="8"/>
    </w:p>
    <w:p w14:paraId="6283E531" w14:textId="77777777" w:rsidR="00AC3F18" w:rsidRPr="003A5BB0" w:rsidRDefault="00AC3F18" w:rsidP="004618A9">
      <w:pPr>
        <w:pStyle w:val="Heading3"/>
        <w:spacing w:before="120" w:after="120"/>
        <w:rPr>
          <w:rFonts w:ascii="Arial" w:hAnsi="Arial" w:cs="Arial"/>
          <w:b/>
          <w:i/>
          <w:sz w:val="20"/>
          <w:szCs w:val="20"/>
          <w:lang w:val="en-GB" w:eastAsia="en-GB"/>
        </w:rPr>
      </w:pPr>
      <w:bookmarkStart w:id="9" w:name="_Toc425677339"/>
      <w:bookmarkStart w:id="10" w:name="_Toc425696930"/>
      <w:bookmarkStart w:id="11" w:name="_Toc426023528"/>
      <w:bookmarkStart w:id="12" w:name="_Toc428029662"/>
      <w:r w:rsidRPr="003A5BB0">
        <w:rPr>
          <w:rFonts w:ascii="Arial" w:hAnsi="Arial" w:cs="Arial"/>
          <w:b/>
          <w:i/>
          <w:sz w:val="20"/>
          <w:szCs w:val="20"/>
          <w:lang w:val="en-GB" w:eastAsia="en-GB"/>
        </w:rPr>
        <w:t>Supply-side</w:t>
      </w:r>
      <w:bookmarkEnd w:id="9"/>
      <w:bookmarkEnd w:id="10"/>
      <w:bookmarkEnd w:id="11"/>
      <w:bookmarkEnd w:id="12"/>
    </w:p>
    <w:p w14:paraId="78FC71EC" w14:textId="27B2B5F5" w:rsidR="003A5BB0" w:rsidRDefault="00AC3F18" w:rsidP="00BD0226">
      <w:pPr>
        <w:spacing w:before="120"/>
        <w:rPr>
          <w:sz w:val="20"/>
          <w:szCs w:val="20"/>
          <w:lang w:val="en-GB" w:eastAsia="en-GB"/>
        </w:rPr>
      </w:pPr>
      <w:r w:rsidRPr="00BC2FF4">
        <w:rPr>
          <w:rFonts w:cstheme="minorHAnsi"/>
          <w:sz w:val="20"/>
          <w:szCs w:val="20"/>
          <w:u w:val="single"/>
          <w:lang w:val="en-GB" w:eastAsia="en-GB"/>
        </w:rPr>
        <w:t>Service location:</w:t>
      </w:r>
      <w:r w:rsidRPr="00BC2FF4">
        <w:rPr>
          <w:rFonts w:cstheme="minorHAnsi"/>
          <w:b/>
          <w:sz w:val="20"/>
          <w:szCs w:val="20"/>
          <w:lang w:val="en-GB" w:eastAsia="en-GB"/>
        </w:rPr>
        <w:t xml:space="preserve"> </w:t>
      </w:r>
      <w:r w:rsidR="00A30038" w:rsidRPr="00A30038">
        <w:rPr>
          <w:rFonts w:cstheme="minorHAnsi"/>
          <w:sz w:val="20"/>
          <w:szCs w:val="20"/>
          <w:lang w:val="en-GB" w:eastAsia="en-GB"/>
        </w:rPr>
        <w:t>The majority of public health facilities</w:t>
      </w:r>
      <w:r w:rsidR="00A30038">
        <w:rPr>
          <w:rFonts w:cstheme="minorHAnsi"/>
          <w:sz w:val="20"/>
          <w:szCs w:val="20"/>
          <w:lang w:val="en-GB" w:eastAsia="en-GB"/>
        </w:rPr>
        <w:t xml:space="preserve"> visited </w:t>
      </w:r>
      <w:proofErr w:type="gramStart"/>
      <w:r w:rsidR="00A30038">
        <w:rPr>
          <w:rFonts w:cstheme="minorHAnsi"/>
          <w:sz w:val="20"/>
          <w:szCs w:val="20"/>
          <w:lang w:val="en-GB" w:eastAsia="en-GB"/>
        </w:rPr>
        <w:t>are</w:t>
      </w:r>
      <w:proofErr w:type="gramEnd"/>
      <w:r w:rsidR="00A30038">
        <w:rPr>
          <w:rFonts w:cstheme="minorHAnsi"/>
          <w:sz w:val="20"/>
          <w:szCs w:val="20"/>
          <w:lang w:val="en-GB" w:eastAsia="en-GB"/>
        </w:rPr>
        <w:t xml:space="preserve"> situated on the periphery of the informal settlements while FBO</w:t>
      </w:r>
      <w:r w:rsidR="006E2801">
        <w:rPr>
          <w:rFonts w:cstheme="minorHAnsi"/>
          <w:sz w:val="20"/>
          <w:szCs w:val="20"/>
          <w:lang w:val="en-GB" w:eastAsia="en-GB"/>
        </w:rPr>
        <w:t>/NGO</w:t>
      </w:r>
      <w:r w:rsidR="00A30038">
        <w:rPr>
          <w:rFonts w:cstheme="minorHAnsi"/>
          <w:sz w:val="20"/>
          <w:szCs w:val="20"/>
          <w:lang w:val="en-GB" w:eastAsia="en-GB"/>
        </w:rPr>
        <w:t xml:space="preserve"> clinics visited are situated within. Irrespective of location, t</w:t>
      </w:r>
      <w:r w:rsidR="00BD0226" w:rsidRPr="00BC2FF4">
        <w:rPr>
          <w:rFonts w:cstheme="minorHAnsi"/>
          <w:sz w:val="20"/>
          <w:szCs w:val="20"/>
          <w:lang w:val="en-GB" w:eastAsia="en-GB"/>
        </w:rPr>
        <w:t>he pattern</w:t>
      </w:r>
      <w:r w:rsidR="00BD0226">
        <w:rPr>
          <w:sz w:val="20"/>
          <w:szCs w:val="20"/>
          <w:lang w:val="en-GB" w:eastAsia="en-GB"/>
        </w:rPr>
        <w:t xml:space="preserve"> of service utilisation </w:t>
      </w:r>
      <w:r w:rsidR="00AA1643">
        <w:rPr>
          <w:sz w:val="20"/>
          <w:szCs w:val="20"/>
          <w:lang w:val="en-GB" w:eastAsia="en-GB"/>
        </w:rPr>
        <w:t xml:space="preserve">in many of the health facilities </w:t>
      </w:r>
      <w:r w:rsidR="00BD0226">
        <w:rPr>
          <w:sz w:val="20"/>
          <w:szCs w:val="20"/>
          <w:lang w:val="en-GB" w:eastAsia="en-GB"/>
        </w:rPr>
        <w:t>is erratic, with one health facility serving women from the immediate as well as distant communities. There is a perception by health workers and managers that utilisation, and the decision to seek services from one facility over another, is based on the reputation of the facility</w:t>
      </w:r>
      <w:r>
        <w:rPr>
          <w:sz w:val="20"/>
          <w:szCs w:val="20"/>
          <w:lang w:val="en-GB" w:eastAsia="en-GB"/>
        </w:rPr>
        <w:t xml:space="preserve">. Reputation </w:t>
      </w:r>
      <w:r w:rsidR="003A5BB0">
        <w:rPr>
          <w:sz w:val="20"/>
          <w:szCs w:val="20"/>
          <w:lang w:val="en-GB" w:eastAsia="en-GB"/>
        </w:rPr>
        <w:t xml:space="preserve">is a function of </w:t>
      </w:r>
      <w:r>
        <w:rPr>
          <w:sz w:val="20"/>
          <w:szCs w:val="20"/>
          <w:lang w:val="en-GB" w:eastAsia="en-GB"/>
        </w:rPr>
        <w:t xml:space="preserve">availability, affordability and acceptability. </w:t>
      </w:r>
      <w:r w:rsidR="002A6111">
        <w:rPr>
          <w:sz w:val="20"/>
          <w:szCs w:val="20"/>
          <w:lang w:val="en-GB" w:eastAsia="en-GB"/>
        </w:rPr>
        <w:t xml:space="preserve">As noted by one health worker, </w:t>
      </w:r>
      <w:r w:rsidR="00FE4A0C" w:rsidRPr="00FE4A0C">
        <w:rPr>
          <w:i/>
          <w:sz w:val="20"/>
          <w:szCs w:val="20"/>
          <w:lang w:val="en-GB" w:eastAsia="en-GB"/>
        </w:rPr>
        <w:t>“</w:t>
      </w:r>
      <w:r w:rsidR="002A6111">
        <w:rPr>
          <w:i/>
          <w:sz w:val="20"/>
          <w:szCs w:val="20"/>
          <w:lang w:val="en-GB" w:eastAsia="en-GB"/>
        </w:rPr>
        <w:t>t</w:t>
      </w:r>
      <w:r w:rsidR="00FE4A0C" w:rsidRPr="00FE4A0C">
        <w:rPr>
          <w:i/>
          <w:sz w:val="20"/>
          <w:szCs w:val="20"/>
          <w:lang w:val="en-GB" w:eastAsia="en-GB"/>
        </w:rPr>
        <w:t xml:space="preserve">he majority of the persons in attendance are from </w:t>
      </w:r>
      <w:proofErr w:type="spellStart"/>
      <w:r w:rsidR="00FE4A0C" w:rsidRPr="00FE4A0C">
        <w:rPr>
          <w:i/>
          <w:sz w:val="20"/>
          <w:szCs w:val="20"/>
          <w:lang w:val="en-GB" w:eastAsia="en-GB"/>
        </w:rPr>
        <w:t>Mathare</w:t>
      </w:r>
      <w:proofErr w:type="spellEnd"/>
      <w:r w:rsidR="00FE4A0C" w:rsidRPr="00FE4A0C">
        <w:rPr>
          <w:i/>
          <w:sz w:val="20"/>
          <w:szCs w:val="20"/>
          <w:lang w:val="en-GB" w:eastAsia="en-GB"/>
        </w:rPr>
        <w:t xml:space="preserve"> section 4A. </w:t>
      </w:r>
      <w:proofErr w:type="gramStart"/>
      <w:r w:rsidR="00FE4A0C" w:rsidRPr="00FE4A0C">
        <w:rPr>
          <w:i/>
          <w:sz w:val="20"/>
          <w:szCs w:val="20"/>
          <w:lang w:val="en-GB" w:eastAsia="en-GB"/>
        </w:rPr>
        <w:t>However, the patients come from as far as Uganda and the rural areas due to the services that we offer”</w:t>
      </w:r>
      <w:r w:rsidR="002A6111">
        <w:rPr>
          <w:i/>
          <w:sz w:val="20"/>
          <w:szCs w:val="20"/>
          <w:lang w:val="en-GB" w:eastAsia="en-GB"/>
        </w:rPr>
        <w:t xml:space="preserve"> </w:t>
      </w:r>
      <w:r w:rsidR="00FE4A0C">
        <w:rPr>
          <w:sz w:val="20"/>
          <w:szCs w:val="20"/>
          <w:lang w:val="en-GB" w:eastAsia="en-GB"/>
        </w:rPr>
        <w:t>(Health Worker</w:t>
      </w:r>
      <w:r w:rsidR="00FE4A0C" w:rsidRPr="006E2801">
        <w:rPr>
          <w:sz w:val="20"/>
          <w:szCs w:val="20"/>
          <w:lang w:val="en-GB" w:eastAsia="en-GB"/>
        </w:rPr>
        <w:t>, Baraka FBO).</w:t>
      </w:r>
      <w:proofErr w:type="gramEnd"/>
      <w:r w:rsidR="00FE4A0C" w:rsidRPr="006E2801">
        <w:rPr>
          <w:sz w:val="20"/>
          <w:szCs w:val="20"/>
          <w:lang w:val="en-GB" w:eastAsia="en-GB"/>
        </w:rPr>
        <w:t xml:space="preserve"> </w:t>
      </w:r>
      <w:r w:rsidR="00613618" w:rsidRPr="006E2801">
        <w:rPr>
          <w:sz w:val="20"/>
          <w:szCs w:val="20"/>
          <w:lang w:val="en-GB" w:eastAsia="en-GB"/>
        </w:rPr>
        <w:t>“</w:t>
      </w:r>
      <w:r w:rsidR="00613618">
        <w:rPr>
          <w:sz w:val="20"/>
          <w:szCs w:val="20"/>
          <w:lang w:val="en-GB" w:eastAsia="en-GB"/>
        </w:rPr>
        <w:t xml:space="preserve">Erratic” utilisation as well as in- and out-migration patterns within informal </w:t>
      </w:r>
      <w:proofErr w:type="gramStart"/>
      <w:r w:rsidR="00613618">
        <w:rPr>
          <w:sz w:val="20"/>
          <w:szCs w:val="20"/>
          <w:lang w:val="en-GB" w:eastAsia="en-GB"/>
        </w:rPr>
        <w:t>settlements,</w:t>
      </w:r>
      <w:proofErr w:type="gramEnd"/>
      <w:r w:rsidR="00613618">
        <w:rPr>
          <w:sz w:val="20"/>
          <w:szCs w:val="20"/>
          <w:lang w:val="en-GB" w:eastAsia="en-GB"/>
        </w:rPr>
        <w:t xml:space="preserve"> create challenges for follow up, defaulter tracing, as well as health service organisation.</w:t>
      </w:r>
      <w:r w:rsidR="00EE26AE">
        <w:rPr>
          <w:sz w:val="20"/>
          <w:szCs w:val="20"/>
          <w:lang w:val="en-GB" w:eastAsia="en-GB"/>
        </w:rPr>
        <w:t xml:space="preserve"> </w:t>
      </w:r>
    </w:p>
    <w:p w14:paraId="07AB64DF" w14:textId="77777777" w:rsidR="00AC3F18" w:rsidRPr="003A5BB0" w:rsidRDefault="00AC3F18" w:rsidP="003A5BB0">
      <w:pPr>
        <w:pStyle w:val="Heading3"/>
        <w:spacing w:before="120" w:after="120"/>
        <w:rPr>
          <w:rFonts w:ascii="Arial" w:hAnsi="Arial" w:cs="Arial"/>
          <w:b/>
          <w:i/>
          <w:sz w:val="20"/>
          <w:szCs w:val="20"/>
        </w:rPr>
      </w:pPr>
      <w:bookmarkStart w:id="13" w:name="_Toc425677340"/>
      <w:bookmarkStart w:id="14" w:name="_Toc425696931"/>
      <w:bookmarkStart w:id="15" w:name="_Toc426023529"/>
      <w:bookmarkStart w:id="16" w:name="_Toc428029663"/>
      <w:r w:rsidRPr="003A5BB0">
        <w:rPr>
          <w:rFonts w:ascii="Arial" w:hAnsi="Arial" w:cs="Arial"/>
          <w:b/>
          <w:i/>
          <w:sz w:val="20"/>
          <w:szCs w:val="20"/>
        </w:rPr>
        <w:t>Demand side</w:t>
      </w:r>
      <w:bookmarkEnd w:id="13"/>
      <w:bookmarkEnd w:id="14"/>
      <w:bookmarkEnd w:id="15"/>
      <w:bookmarkEnd w:id="16"/>
    </w:p>
    <w:p w14:paraId="5549757C" w14:textId="77777777" w:rsidR="003A5BB0" w:rsidRPr="006406A8" w:rsidRDefault="003A5BB0" w:rsidP="003A5BB0">
      <w:pPr>
        <w:autoSpaceDE w:val="0"/>
        <w:autoSpaceDN w:val="0"/>
        <w:adjustRightInd w:val="0"/>
        <w:spacing w:before="60" w:after="60"/>
        <w:rPr>
          <w:rFonts w:cstheme="minorHAnsi"/>
          <w:sz w:val="20"/>
          <w:szCs w:val="20"/>
          <w:lang w:val="en-GB"/>
        </w:rPr>
      </w:pPr>
      <w:r w:rsidRPr="006406A8">
        <w:rPr>
          <w:rFonts w:cstheme="minorHAnsi"/>
          <w:sz w:val="20"/>
          <w:szCs w:val="20"/>
          <w:u w:val="single"/>
          <w:lang w:val="en-GB"/>
        </w:rPr>
        <w:t>Indirect costs to households</w:t>
      </w:r>
      <w:r w:rsidR="006406A8">
        <w:rPr>
          <w:rFonts w:cstheme="minorHAnsi"/>
          <w:sz w:val="20"/>
          <w:szCs w:val="20"/>
          <w:lang w:val="en-GB"/>
        </w:rPr>
        <w:t xml:space="preserve">: Costs of transportation were not cited by </w:t>
      </w:r>
      <w:r w:rsidR="00613618">
        <w:rPr>
          <w:rFonts w:cstheme="minorHAnsi"/>
          <w:sz w:val="20"/>
          <w:szCs w:val="20"/>
          <w:lang w:val="en-GB"/>
        </w:rPr>
        <w:t>caretaker</w:t>
      </w:r>
      <w:r w:rsidR="006406A8">
        <w:rPr>
          <w:rFonts w:cstheme="minorHAnsi"/>
          <w:sz w:val="20"/>
          <w:szCs w:val="20"/>
          <w:lang w:val="en-GB"/>
        </w:rPr>
        <w:t xml:space="preserve">s attending the MCH </w:t>
      </w:r>
      <w:proofErr w:type="gramStart"/>
      <w:r w:rsidR="006406A8">
        <w:rPr>
          <w:rFonts w:cstheme="minorHAnsi"/>
          <w:sz w:val="20"/>
          <w:szCs w:val="20"/>
          <w:lang w:val="en-GB"/>
        </w:rPr>
        <w:t>clinic,</w:t>
      </w:r>
      <w:proofErr w:type="gramEnd"/>
      <w:r w:rsidR="006406A8">
        <w:rPr>
          <w:rFonts w:cstheme="minorHAnsi"/>
          <w:sz w:val="20"/>
          <w:szCs w:val="20"/>
          <w:lang w:val="en-GB"/>
        </w:rPr>
        <w:t xml:space="preserve"> however it can be assumed that this is a factor for those that do not attend. </w:t>
      </w:r>
    </w:p>
    <w:p w14:paraId="7E2CF1E8" w14:textId="77777777" w:rsidR="00AC3F18" w:rsidRDefault="003A5BB0" w:rsidP="003A5BB0">
      <w:pPr>
        <w:spacing w:before="120"/>
        <w:rPr>
          <w:rFonts w:cstheme="minorHAnsi"/>
          <w:sz w:val="20"/>
          <w:szCs w:val="20"/>
          <w:lang w:val="en-GB"/>
        </w:rPr>
      </w:pPr>
      <w:r w:rsidRPr="006406A8">
        <w:rPr>
          <w:rFonts w:cstheme="minorHAnsi"/>
          <w:sz w:val="20"/>
          <w:szCs w:val="20"/>
          <w:u w:val="single"/>
          <w:lang w:val="en-GB"/>
        </w:rPr>
        <w:lastRenderedPageBreak/>
        <w:t>Means of transportation available</w:t>
      </w:r>
      <w:r w:rsidR="006406A8">
        <w:rPr>
          <w:rFonts w:cstheme="minorHAnsi"/>
          <w:sz w:val="20"/>
          <w:szCs w:val="20"/>
          <w:lang w:val="en-GB"/>
        </w:rPr>
        <w:t xml:space="preserve">: Means of transportation was not cited as an issue although it was reported by health workers that attendance </w:t>
      </w:r>
      <w:r w:rsidR="002A6111">
        <w:rPr>
          <w:rFonts w:cstheme="minorHAnsi"/>
          <w:sz w:val="20"/>
          <w:szCs w:val="20"/>
          <w:lang w:val="en-GB"/>
        </w:rPr>
        <w:t xml:space="preserve">at the MCH clinic </w:t>
      </w:r>
      <w:r w:rsidR="006406A8">
        <w:rPr>
          <w:rFonts w:cstheme="minorHAnsi"/>
          <w:sz w:val="20"/>
          <w:szCs w:val="20"/>
          <w:lang w:val="en-GB"/>
        </w:rPr>
        <w:t xml:space="preserve">is seasonally </w:t>
      </w:r>
      <w:proofErr w:type="gramStart"/>
      <w:r w:rsidR="006406A8">
        <w:rPr>
          <w:rFonts w:cstheme="minorHAnsi"/>
          <w:sz w:val="20"/>
          <w:szCs w:val="20"/>
          <w:lang w:val="en-GB"/>
        </w:rPr>
        <w:t>effected</w:t>
      </w:r>
      <w:proofErr w:type="gramEnd"/>
      <w:r w:rsidR="006406A8">
        <w:rPr>
          <w:rFonts w:cstheme="minorHAnsi"/>
          <w:sz w:val="20"/>
          <w:szCs w:val="20"/>
          <w:lang w:val="en-GB"/>
        </w:rPr>
        <w:t>. In particular, attendance is lower in the rainy season when the roads in the informal sett</w:t>
      </w:r>
      <w:r w:rsidR="00845BAF">
        <w:rPr>
          <w:rFonts w:cstheme="minorHAnsi"/>
          <w:sz w:val="20"/>
          <w:szCs w:val="20"/>
          <w:lang w:val="en-GB"/>
        </w:rPr>
        <w:t>lements become quagmires</w:t>
      </w:r>
      <w:r w:rsidR="002A6111">
        <w:rPr>
          <w:rFonts w:cstheme="minorHAnsi"/>
          <w:sz w:val="20"/>
          <w:szCs w:val="20"/>
          <w:lang w:val="en-GB"/>
        </w:rPr>
        <w:t>,</w:t>
      </w:r>
      <w:r w:rsidR="00845BAF">
        <w:rPr>
          <w:rFonts w:cstheme="minorHAnsi"/>
          <w:sz w:val="20"/>
          <w:szCs w:val="20"/>
          <w:lang w:val="en-GB"/>
        </w:rPr>
        <w:t xml:space="preserve"> making movement difficult.</w:t>
      </w:r>
    </w:p>
    <w:p w14:paraId="1D4945A6" w14:textId="77777777" w:rsidR="00EC7575" w:rsidRPr="00EC7575" w:rsidRDefault="00645AC2" w:rsidP="002A6111">
      <w:pPr>
        <w:pStyle w:val="Heading2"/>
        <w:spacing w:before="120" w:after="120"/>
        <w:rPr>
          <w:rFonts w:ascii="Arial" w:hAnsi="Arial" w:cs="Arial"/>
          <w:b/>
          <w:sz w:val="24"/>
          <w:szCs w:val="24"/>
          <w:lang w:val="en-GB" w:eastAsia="en-GB"/>
        </w:rPr>
      </w:pPr>
      <w:bookmarkStart w:id="17" w:name="_Toc428029664"/>
      <w:r>
        <w:rPr>
          <w:rFonts w:ascii="Arial" w:hAnsi="Arial" w:cs="Arial"/>
          <w:b/>
          <w:sz w:val="24"/>
          <w:szCs w:val="24"/>
          <w:lang w:val="en-GB" w:eastAsia="en-GB"/>
        </w:rPr>
        <w:t>4</w:t>
      </w:r>
      <w:r w:rsidR="00E8411E">
        <w:rPr>
          <w:rFonts w:ascii="Arial" w:hAnsi="Arial" w:cs="Arial"/>
          <w:b/>
          <w:sz w:val="24"/>
          <w:szCs w:val="24"/>
          <w:lang w:val="en-GB" w:eastAsia="en-GB"/>
        </w:rPr>
        <w:t xml:space="preserve">.2 </w:t>
      </w:r>
      <w:r w:rsidR="00EC7575" w:rsidRPr="00EC7575">
        <w:rPr>
          <w:rFonts w:ascii="Arial" w:hAnsi="Arial" w:cs="Arial"/>
          <w:b/>
          <w:sz w:val="24"/>
          <w:szCs w:val="24"/>
          <w:lang w:val="en-GB" w:eastAsia="en-GB"/>
        </w:rPr>
        <w:t>Availability</w:t>
      </w:r>
      <w:bookmarkEnd w:id="17"/>
    </w:p>
    <w:p w14:paraId="1F01A83B" w14:textId="77777777" w:rsidR="00AC3F18" w:rsidRPr="003A5BB0" w:rsidRDefault="00AC3F18" w:rsidP="003A5BB0">
      <w:pPr>
        <w:pStyle w:val="Heading3"/>
        <w:spacing w:before="120" w:after="120"/>
        <w:rPr>
          <w:rFonts w:ascii="Arial" w:hAnsi="Arial" w:cs="Arial"/>
          <w:b/>
          <w:i/>
          <w:sz w:val="20"/>
          <w:szCs w:val="20"/>
          <w:lang w:val="en-GB" w:eastAsia="en-GB"/>
        </w:rPr>
      </w:pPr>
      <w:bookmarkStart w:id="18" w:name="_Toc425677342"/>
      <w:bookmarkStart w:id="19" w:name="_Toc425696933"/>
      <w:bookmarkStart w:id="20" w:name="_Toc426023531"/>
      <w:bookmarkStart w:id="21" w:name="_Toc428029665"/>
      <w:r w:rsidRPr="003A5BB0">
        <w:rPr>
          <w:rFonts w:ascii="Arial" w:hAnsi="Arial" w:cs="Arial"/>
          <w:b/>
          <w:i/>
          <w:sz w:val="20"/>
          <w:szCs w:val="20"/>
          <w:lang w:val="en-GB" w:eastAsia="en-GB"/>
        </w:rPr>
        <w:t>Supply-side</w:t>
      </w:r>
      <w:bookmarkEnd w:id="18"/>
      <w:bookmarkEnd w:id="19"/>
      <w:bookmarkEnd w:id="20"/>
      <w:bookmarkEnd w:id="21"/>
    </w:p>
    <w:p w14:paraId="1D9F9862" w14:textId="77777777" w:rsidR="00845BAF" w:rsidRPr="00645AC2" w:rsidRDefault="00EC7575" w:rsidP="00116F85">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 xml:space="preserve">Unqualified health workers, staff absenteeism, </w:t>
      </w:r>
      <w:r w:rsidR="00116F85" w:rsidRPr="00183925">
        <w:rPr>
          <w:rFonts w:cstheme="minorHAnsi"/>
          <w:sz w:val="20"/>
          <w:szCs w:val="20"/>
          <w:u w:val="single"/>
          <w:lang w:val="en-GB" w:eastAsia="en-GB"/>
        </w:rPr>
        <w:t>and opening</w:t>
      </w:r>
      <w:r w:rsidRPr="00183925">
        <w:rPr>
          <w:rFonts w:cstheme="minorHAnsi"/>
          <w:sz w:val="20"/>
          <w:szCs w:val="20"/>
          <w:u w:val="single"/>
          <w:lang w:val="en-GB" w:eastAsia="en-GB"/>
        </w:rPr>
        <w:t xml:space="preserve"> hours</w:t>
      </w:r>
      <w:r w:rsidR="00AC3F18" w:rsidRPr="00183925">
        <w:rPr>
          <w:rFonts w:cstheme="minorHAnsi"/>
          <w:sz w:val="20"/>
          <w:szCs w:val="20"/>
          <w:u w:val="single"/>
          <w:lang w:val="en-GB" w:eastAsia="en-GB"/>
        </w:rPr>
        <w:t>:</w:t>
      </w:r>
      <w:r w:rsidR="00AC3F18" w:rsidRPr="00183925">
        <w:rPr>
          <w:rFonts w:cstheme="minorHAnsi"/>
          <w:b/>
          <w:sz w:val="20"/>
          <w:szCs w:val="20"/>
          <w:lang w:val="en-GB" w:eastAsia="en-GB"/>
        </w:rPr>
        <w:t xml:space="preserve"> </w:t>
      </w:r>
      <w:r w:rsidR="00116F85">
        <w:rPr>
          <w:rFonts w:cstheme="minorHAnsi"/>
          <w:sz w:val="20"/>
          <w:szCs w:val="20"/>
          <w:lang w:val="en-GB" w:eastAsia="en-GB"/>
        </w:rPr>
        <w:t>There is a</w:t>
      </w:r>
      <w:r w:rsidR="00116F85" w:rsidRPr="00116F85">
        <w:rPr>
          <w:rFonts w:cstheme="minorHAnsi"/>
          <w:sz w:val="20"/>
          <w:szCs w:val="20"/>
          <w:lang w:val="en-GB" w:eastAsia="en-GB"/>
        </w:rPr>
        <w:t xml:space="preserve"> shortage of nutritionists within the health facilities visited. The fall-back position is to use CHEWs as “declared” nutritionists; this tactic </w:t>
      </w:r>
      <w:r w:rsidR="00116F85">
        <w:rPr>
          <w:rFonts w:cstheme="minorHAnsi"/>
          <w:sz w:val="20"/>
          <w:szCs w:val="20"/>
          <w:lang w:val="en-GB" w:eastAsia="en-GB"/>
        </w:rPr>
        <w:t xml:space="preserve">also </w:t>
      </w:r>
      <w:r w:rsidR="00116F85" w:rsidRPr="00116F85">
        <w:rPr>
          <w:rFonts w:cstheme="minorHAnsi"/>
          <w:sz w:val="20"/>
          <w:szCs w:val="20"/>
          <w:lang w:val="en-GB" w:eastAsia="en-GB"/>
        </w:rPr>
        <w:t>extends to CHVs.</w:t>
      </w:r>
      <w:r w:rsidR="00116F85">
        <w:rPr>
          <w:rFonts w:cstheme="minorHAnsi"/>
          <w:sz w:val="20"/>
          <w:szCs w:val="20"/>
          <w:lang w:val="en-GB" w:eastAsia="en-GB"/>
        </w:rPr>
        <w:t xml:space="preserve"> It was observed that, i</w:t>
      </w:r>
      <w:r w:rsidR="00BD0226" w:rsidRPr="00183925">
        <w:rPr>
          <w:rFonts w:cstheme="minorHAnsi"/>
          <w:sz w:val="20"/>
          <w:szCs w:val="20"/>
          <w:lang w:val="en-GB" w:eastAsia="en-GB"/>
        </w:rPr>
        <w:t>n many instances, CHVs</w:t>
      </w:r>
      <w:r w:rsidR="00116F85">
        <w:rPr>
          <w:rFonts w:cstheme="minorHAnsi"/>
          <w:sz w:val="20"/>
          <w:szCs w:val="20"/>
          <w:lang w:val="en-GB" w:eastAsia="en-GB"/>
        </w:rPr>
        <w:t>,</w:t>
      </w:r>
      <w:r w:rsidR="00BD0226" w:rsidRPr="00183925">
        <w:rPr>
          <w:rFonts w:cstheme="minorHAnsi"/>
          <w:sz w:val="20"/>
          <w:szCs w:val="20"/>
          <w:lang w:val="en-GB" w:eastAsia="en-GB"/>
        </w:rPr>
        <w:t xml:space="preserve"> CHEWs </w:t>
      </w:r>
      <w:r w:rsidR="00116F85">
        <w:rPr>
          <w:rFonts w:cstheme="minorHAnsi"/>
          <w:sz w:val="20"/>
          <w:szCs w:val="20"/>
          <w:lang w:val="en-GB" w:eastAsia="en-GB"/>
        </w:rPr>
        <w:t xml:space="preserve">and students were providing IMAM and </w:t>
      </w:r>
      <w:r w:rsidR="00B81A52">
        <w:rPr>
          <w:rFonts w:cstheme="minorHAnsi"/>
          <w:sz w:val="20"/>
          <w:szCs w:val="20"/>
          <w:lang w:val="en-GB" w:eastAsia="en-GB"/>
        </w:rPr>
        <w:t>growth monitoring promotion (</w:t>
      </w:r>
      <w:r w:rsidR="00116F85">
        <w:rPr>
          <w:rFonts w:cstheme="minorHAnsi"/>
          <w:sz w:val="20"/>
          <w:szCs w:val="20"/>
          <w:lang w:val="en-GB" w:eastAsia="en-GB"/>
        </w:rPr>
        <w:t>GMP</w:t>
      </w:r>
      <w:r w:rsidR="00B81A52">
        <w:rPr>
          <w:rFonts w:cstheme="minorHAnsi"/>
          <w:sz w:val="20"/>
          <w:szCs w:val="20"/>
          <w:lang w:val="en-GB" w:eastAsia="en-GB"/>
        </w:rPr>
        <w:t>)</w:t>
      </w:r>
      <w:r w:rsidR="00116F85">
        <w:rPr>
          <w:rFonts w:cstheme="minorHAnsi"/>
          <w:sz w:val="20"/>
          <w:szCs w:val="20"/>
          <w:lang w:val="en-GB" w:eastAsia="en-GB"/>
        </w:rPr>
        <w:t xml:space="preserve"> </w:t>
      </w:r>
      <w:r w:rsidR="00BD0226" w:rsidRPr="00183925">
        <w:rPr>
          <w:rFonts w:cstheme="minorHAnsi"/>
          <w:sz w:val="20"/>
          <w:szCs w:val="20"/>
          <w:lang w:val="en-GB" w:eastAsia="en-GB"/>
        </w:rPr>
        <w:t xml:space="preserve">services. While some have received training, others have learned on-the-job. </w:t>
      </w:r>
      <w:r w:rsidR="00116F85">
        <w:rPr>
          <w:rFonts w:cstheme="minorHAnsi"/>
          <w:sz w:val="20"/>
          <w:szCs w:val="20"/>
          <w:lang w:val="en-GB" w:eastAsia="en-GB"/>
        </w:rPr>
        <w:t>Impressively, o</w:t>
      </w:r>
      <w:r w:rsidR="00BD0226" w:rsidRPr="00183925">
        <w:rPr>
          <w:rFonts w:cstheme="minorHAnsi"/>
          <w:sz w:val="20"/>
          <w:szCs w:val="20"/>
          <w:lang w:val="en-GB" w:eastAsia="en-GB"/>
        </w:rPr>
        <w:t>ne CHV was self-taught using online training programmes from USAID and UNICEF</w:t>
      </w:r>
      <w:r w:rsidR="00116F85">
        <w:rPr>
          <w:rFonts w:cstheme="minorHAnsi"/>
          <w:sz w:val="20"/>
          <w:szCs w:val="20"/>
          <w:lang w:val="en-GB" w:eastAsia="en-GB"/>
        </w:rPr>
        <w:t xml:space="preserve"> to deepen his knowledge</w:t>
      </w:r>
      <w:r w:rsidR="00BD0226" w:rsidRPr="00645AC2">
        <w:rPr>
          <w:rFonts w:cstheme="minorHAnsi"/>
          <w:sz w:val="20"/>
          <w:szCs w:val="20"/>
          <w:lang w:val="en-GB" w:eastAsia="en-GB"/>
        </w:rPr>
        <w:t>.</w:t>
      </w:r>
      <w:r w:rsidR="00116F85" w:rsidRPr="00645AC2">
        <w:rPr>
          <w:rFonts w:cstheme="minorHAnsi"/>
          <w:sz w:val="20"/>
          <w:szCs w:val="20"/>
          <w:lang w:val="en-GB" w:eastAsia="en-GB"/>
        </w:rPr>
        <w:t xml:space="preserve"> </w:t>
      </w:r>
      <w:r w:rsidR="00645AC2" w:rsidRPr="00645AC2">
        <w:rPr>
          <w:rFonts w:cstheme="minorHAnsi"/>
          <w:sz w:val="20"/>
          <w:szCs w:val="20"/>
          <w:lang w:val="en-GB" w:eastAsia="en-GB"/>
        </w:rPr>
        <w:t xml:space="preserve">Of note, most of the students that were observed providing nutrition services did not demonstrate good inter-personal skills. </w:t>
      </w:r>
    </w:p>
    <w:p w14:paraId="0EA59CE1" w14:textId="77777777" w:rsidR="00116F85" w:rsidRPr="00645AC2" w:rsidRDefault="00116F85" w:rsidP="002A6111">
      <w:pPr>
        <w:autoSpaceDE w:val="0"/>
        <w:autoSpaceDN w:val="0"/>
        <w:adjustRightInd w:val="0"/>
        <w:spacing w:before="120"/>
        <w:rPr>
          <w:rFonts w:cstheme="minorHAnsi"/>
          <w:sz w:val="20"/>
          <w:szCs w:val="20"/>
          <w:lang w:val="en-GB" w:eastAsia="en-GB"/>
        </w:rPr>
      </w:pPr>
      <w:r w:rsidRPr="00645AC2">
        <w:rPr>
          <w:rFonts w:cstheme="minorHAnsi"/>
          <w:sz w:val="20"/>
          <w:szCs w:val="20"/>
          <w:lang w:val="en-GB" w:eastAsia="en-GB"/>
        </w:rPr>
        <w:t xml:space="preserve">Staff absenteeism was also an issue in some of the health facilities visited. This practice was more in relation to late arrival than complete absence. </w:t>
      </w:r>
      <w:r w:rsidR="002A6111" w:rsidRPr="00645AC2">
        <w:rPr>
          <w:rFonts w:cstheme="minorHAnsi"/>
          <w:sz w:val="20"/>
          <w:szCs w:val="20"/>
          <w:lang w:val="en-GB" w:eastAsia="en-GB"/>
        </w:rPr>
        <w:t xml:space="preserve">In one instance, the </w:t>
      </w:r>
      <w:r w:rsidRPr="00645AC2">
        <w:rPr>
          <w:rFonts w:cstheme="minorHAnsi"/>
          <w:sz w:val="20"/>
          <w:szCs w:val="20"/>
          <w:lang w:val="en-GB" w:eastAsia="en-GB"/>
        </w:rPr>
        <w:t xml:space="preserve">Interviewer </w:t>
      </w:r>
      <w:r w:rsidR="002A6111" w:rsidRPr="00645AC2">
        <w:rPr>
          <w:rFonts w:cstheme="minorHAnsi"/>
          <w:sz w:val="20"/>
          <w:szCs w:val="20"/>
          <w:lang w:val="en-GB" w:eastAsia="en-GB"/>
        </w:rPr>
        <w:t>arrived at the health facility at 8.30 am. Mothers were waiting to be attended to</w:t>
      </w:r>
      <w:r w:rsidR="003E33FA" w:rsidRPr="00645AC2">
        <w:rPr>
          <w:rFonts w:cstheme="minorHAnsi"/>
          <w:sz w:val="20"/>
          <w:szCs w:val="20"/>
          <w:lang w:val="en-GB" w:eastAsia="en-GB"/>
        </w:rPr>
        <w:t xml:space="preserve">. A health </w:t>
      </w:r>
      <w:proofErr w:type="gramStart"/>
      <w:r w:rsidR="003E33FA" w:rsidRPr="00645AC2">
        <w:rPr>
          <w:rFonts w:cstheme="minorHAnsi"/>
          <w:sz w:val="20"/>
          <w:szCs w:val="20"/>
          <w:lang w:val="en-GB" w:eastAsia="en-GB"/>
        </w:rPr>
        <w:t>worker</w:t>
      </w:r>
      <w:proofErr w:type="gramEnd"/>
      <w:r w:rsidR="003E33FA" w:rsidRPr="00645AC2">
        <w:rPr>
          <w:rFonts w:cstheme="minorHAnsi"/>
          <w:sz w:val="20"/>
          <w:szCs w:val="20"/>
          <w:lang w:val="en-GB" w:eastAsia="en-GB"/>
        </w:rPr>
        <w:t xml:space="preserve"> who</w:t>
      </w:r>
      <w:r w:rsidR="002A6111" w:rsidRPr="00645AC2">
        <w:rPr>
          <w:rFonts w:cstheme="minorHAnsi"/>
          <w:sz w:val="20"/>
          <w:szCs w:val="20"/>
          <w:lang w:val="en-GB" w:eastAsia="en-GB"/>
        </w:rPr>
        <w:t xml:space="preserve"> was present, advised the interviewer to go way at 9.00</w:t>
      </w:r>
      <w:r w:rsidR="00B81A52" w:rsidRPr="00645AC2">
        <w:rPr>
          <w:rFonts w:cstheme="minorHAnsi"/>
          <w:sz w:val="20"/>
          <w:szCs w:val="20"/>
          <w:lang w:val="en-GB" w:eastAsia="en-GB"/>
        </w:rPr>
        <w:t xml:space="preserve"> </w:t>
      </w:r>
      <w:r w:rsidR="002A6111" w:rsidRPr="00645AC2">
        <w:rPr>
          <w:rFonts w:cstheme="minorHAnsi"/>
          <w:sz w:val="20"/>
          <w:szCs w:val="20"/>
          <w:lang w:val="en-GB" w:eastAsia="en-GB"/>
        </w:rPr>
        <w:t>am and return at about 11.00</w:t>
      </w:r>
      <w:r w:rsidR="00B81A52" w:rsidRPr="00645AC2">
        <w:rPr>
          <w:rFonts w:cstheme="minorHAnsi"/>
          <w:sz w:val="20"/>
          <w:szCs w:val="20"/>
          <w:lang w:val="en-GB" w:eastAsia="en-GB"/>
        </w:rPr>
        <w:t xml:space="preserve"> </w:t>
      </w:r>
      <w:r w:rsidR="002A6111" w:rsidRPr="00645AC2">
        <w:rPr>
          <w:rFonts w:cstheme="minorHAnsi"/>
          <w:sz w:val="20"/>
          <w:szCs w:val="20"/>
          <w:lang w:val="en-GB" w:eastAsia="en-GB"/>
        </w:rPr>
        <w:t xml:space="preserve">am when the health workers would have arrived at the facility. In a similar instance, the interviewer arrived at </w:t>
      </w:r>
      <w:r w:rsidR="00645AC2" w:rsidRPr="00645AC2">
        <w:rPr>
          <w:rFonts w:cstheme="minorHAnsi"/>
          <w:sz w:val="20"/>
          <w:szCs w:val="20"/>
          <w:lang w:val="en-GB" w:eastAsia="en-GB"/>
        </w:rPr>
        <w:t>another health facility</w:t>
      </w:r>
      <w:r w:rsidRPr="00645AC2">
        <w:rPr>
          <w:rFonts w:cstheme="minorHAnsi"/>
          <w:sz w:val="20"/>
          <w:szCs w:val="20"/>
          <w:lang w:val="en-GB" w:eastAsia="en-GB"/>
        </w:rPr>
        <w:t xml:space="preserve"> by 8.00 am </w:t>
      </w:r>
      <w:r w:rsidR="002A6111" w:rsidRPr="00645AC2">
        <w:rPr>
          <w:rFonts w:cstheme="minorHAnsi"/>
          <w:sz w:val="20"/>
          <w:szCs w:val="20"/>
          <w:lang w:val="en-GB" w:eastAsia="en-GB"/>
        </w:rPr>
        <w:t>but</w:t>
      </w:r>
      <w:r w:rsidRPr="00645AC2">
        <w:rPr>
          <w:rFonts w:cstheme="minorHAnsi"/>
          <w:sz w:val="20"/>
          <w:szCs w:val="20"/>
          <w:lang w:val="en-GB" w:eastAsia="en-GB"/>
        </w:rPr>
        <w:t xml:space="preserve"> none of the health workers had arrived. </w:t>
      </w:r>
      <w:r w:rsidR="002A6111" w:rsidRPr="00645AC2">
        <w:rPr>
          <w:rFonts w:cstheme="minorHAnsi"/>
          <w:sz w:val="20"/>
          <w:szCs w:val="20"/>
          <w:lang w:val="en-GB" w:eastAsia="en-GB"/>
        </w:rPr>
        <w:t>The p</w:t>
      </w:r>
      <w:r w:rsidRPr="00645AC2">
        <w:rPr>
          <w:rFonts w:cstheme="minorHAnsi"/>
          <w:sz w:val="20"/>
          <w:szCs w:val="20"/>
          <w:lang w:val="en-GB" w:eastAsia="en-GB"/>
        </w:rPr>
        <w:t xml:space="preserve">ersons present were </w:t>
      </w:r>
      <w:r w:rsidR="002A6111" w:rsidRPr="00645AC2">
        <w:rPr>
          <w:rFonts w:cstheme="minorHAnsi"/>
          <w:sz w:val="20"/>
          <w:szCs w:val="20"/>
          <w:lang w:val="en-GB" w:eastAsia="en-GB"/>
        </w:rPr>
        <w:t>two</w:t>
      </w:r>
      <w:r w:rsidRPr="00645AC2">
        <w:rPr>
          <w:rFonts w:cstheme="minorHAnsi"/>
          <w:sz w:val="20"/>
          <w:szCs w:val="20"/>
          <w:lang w:val="en-GB" w:eastAsia="en-GB"/>
        </w:rPr>
        <w:t xml:space="preserve"> cleaners and more than 20 </w:t>
      </w:r>
      <w:r w:rsidR="002A6111" w:rsidRPr="00645AC2">
        <w:rPr>
          <w:rFonts w:cstheme="minorHAnsi"/>
          <w:sz w:val="20"/>
          <w:szCs w:val="20"/>
          <w:lang w:val="en-GB" w:eastAsia="en-GB"/>
        </w:rPr>
        <w:t>m</w:t>
      </w:r>
      <w:r w:rsidRPr="00645AC2">
        <w:rPr>
          <w:rFonts w:cstheme="minorHAnsi"/>
          <w:sz w:val="20"/>
          <w:szCs w:val="20"/>
          <w:lang w:val="en-GB" w:eastAsia="en-GB"/>
        </w:rPr>
        <w:t xml:space="preserve">others at the waiting bay. </w:t>
      </w:r>
      <w:r w:rsidR="002A6111" w:rsidRPr="00645AC2">
        <w:rPr>
          <w:rFonts w:cstheme="minorHAnsi"/>
          <w:sz w:val="20"/>
          <w:szCs w:val="20"/>
          <w:lang w:val="en-GB" w:eastAsia="en-GB"/>
        </w:rPr>
        <w:t xml:space="preserve">Interviews were also not possible at the </w:t>
      </w:r>
      <w:r w:rsidR="00645AC2" w:rsidRPr="00645AC2">
        <w:rPr>
          <w:rFonts w:cstheme="minorHAnsi"/>
          <w:sz w:val="20"/>
          <w:szCs w:val="20"/>
          <w:lang w:val="en-GB" w:eastAsia="en-GB"/>
        </w:rPr>
        <w:t xml:space="preserve">one </w:t>
      </w:r>
      <w:r w:rsidR="002A6111" w:rsidRPr="00645AC2">
        <w:rPr>
          <w:rFonts w:cstheme="minorHAnsi"/>
          <w:sz w:val="20"/>
          <w:szCs w:val="20"/>
          <w:lang w:val="en-GB" w:eastAsia="en-GB"/>
        </w:rPr>
        <w:t>Health Centre where the interviewer arrived at 8:30 am.</w:t>
      </w:r>
      <w:r w:rsidR="002A6111" w:rsidRPr="00645AC2">
        <w:t xml:space="preserve"> </w:t>
      </w:r>
      <w:r w:rsidR="002A6111" w:rsidRPr="00645AC2">
        <w:rPr>
          <w:rFonts w:cstheme="minorHAnsi"/>
          <w:sz w:val="20"/>
          <w:szCs w:val="20"/>
          <w:lang w:val="en-GB" w:eastAsia="en-GB"/>
        </w:rPr>
        <w:t xml:space="preserve">The facility had only one health worker </w:t>
      </w:r>
      <w:r w:rsidR="008F4029" w:rsidRPr="00645AC2">
        <w:rPr>
          <w:rFonts w:cstheme="minorHAnsi"/>
          <w:sz w:val="20"/>
          <w:szCs w:val="20"/>
          <w:lang w:val="en-GB" w:eastAsia="en-GB"/>
        </w:rPr>
        <w:t>at 9:25 a</w:t>
      </w:r>
      <w:r w:rsidR="002A6111" w:rsidRPr="00645AC2">
        <w:rPr>
          <w:rFonts w:cstheme="minorHAnsi"/>
          <w:sz w:val="20"/>
          <w:szCs w:val="20"/>
          <w:lang w:val="en-GB" w:eastAsia="en-GB"/>
        </w:rPr>
        <w:t>m when the interviewer decided to leave and only a few patients in the waiting bay</w:t>
      </w:r>
      <w:r w:rsidR="00B81A52" w:rsidRPr="00645AC2">
        <w:rPr>
          <w:rFonts w:cstheme="minorHAnsi"/>
          <w:sz w:val="20"/>
          <w:szCs w:val="20"/>
          <w:lang w:val="en-GB" w:eastAsia="en-GB"/>
        </w:rPr>
        <w:t>;</w:t>
      </w:r>
      <w:r w:rsidR="002A6111" w:rsidRPr="00645AC2">
        <w:rPr>
          <w:rFonts w:cstheme="minorHAnsi"/>
          <w:sz w:val="20"/>
          <w:szCs w:val="20"/>
          <w:lang w:val="en-GB" w:eastAsia="en-GB"/>
        </w:rPr>
        <w:t xml:space="preserve"> none had come for MCH services.</w:t>
      </w:r>
    </w:p>
    <w:p w14:paraId="02801CD6" w14:textId="4D0046DA" w:rsidR="00061730" w:rsidRDefault="00061730" w:rsidP="00061730">
      <w:pPr>
        <w:autoSpaceDE w:val="0"/>
        <w:autoSpaceDN w:val="0"/>
        <w:adjustRightInd w:val="0"/>
        <w:spacing w:before="120"/>
        <w:rPr>
          <w:rFonts w:cstheme="minorHAnsi"/>
          <w:sz w:val="20"/>
          <w:szCs w:val="20"/>
          <w:lang w:val="en-GB" w:eastAsia="en-GB"/>
        </w:rPr>
      </w:pPr>
      <w:r w:rsidRPr="00645AC2">
        <w:rPr>
          <w:rFonts w:cstheme="minorHAnsi"/>
          <w:sz w:val="20"/>
          <w:szCs w:val="20"/>
          <w:lang w:val="en-GB" w:eastAsia="en-GB"/>
        </w:rPr>
        <w:t>These examples highlight a relaxed practice in</w:t>
      </w:r>
      <w:r>
        <w:rPr>
          <w:rFonts w:cstheme="minorHAnsi"/>
          <w:sz w:val="20"/>
          <w:szCs w:val="20"/>
          <w:lang w:val="en-GB" w:eastAsia="en-GB"/>
        </w:rPr>
        <w:t xml:space="preserve"> relation to the opening hours in </w:t>
      </w:r>
      <w:r w:rsidR="00B81A52">
        <w:rPr>
          <w:rFonts w:cstheme="minorHAnsi"/>
          <w:sz w:val="20"/>
          <w:szCs w:val="20"/>
          <w:lang w:val="en-GB" w:eastAsia="en-GB"/>
        </w:rPr>
        <w:t>some</w:t>
      </w:r>
      <w:r>
        <w:rPr>
          <w:rFonts w:cstheme="minorHAnsi"/>
          <w:sz w:val="20"/>
          <w:szCs w:val="20"/>
          <w:lang w:val="en-GB" w:eastAsia="en-GB"/>
        </w:rPr>
        <w:t xml:space="preserve"> health facilities. However, the practice of limited MCH “operating” hours was found to be more prevalent across the </w:t>
      </w:r>
      <w:r w:rsidR="00B81A52">
        <w:rPr>
          <w:rFonts w:cstheme="minorHAnsi"/>
          <w:sz w:val="20"/>
          <w:szCs w:val="20"/>
          <w:lang w:val="en-GB" w:eastAsia="en-GB"/>
        </w:rPr>
        <w:t>facilities</w:t>
      </w:r>
      <w:r>
        <w:rPr>
          <w:rFonts w:cstheme="minorHAnsi"/>
          <w:sz w:val="20"/>
          <w:szCs w:val="20"/>
          <w:lang w:val="en-GB" w:eastAsia="en-GB"/>
        </w:rPr>
        <w:t xml:space="preserve"> visited. Table </w:t>
      </w:r>
      <w:r w:rsidR="00792B7D">
        <w:rPr>
          <w:rFonts w:cstheme="minorHAnsi"/>
          <w:sz w:val="20"/>
          <w:szCs w:val="20"/>
          <w:lang w:val="en-GB" w:eastAsia="en-GB"/>
        </w:rPr>
        <w:t>3</w:t>
      </w:r>
      <w:r>
        <w:rPr>
          <w:rFonts w:cstheme="minorHAnsi"/>
          <w:sz w:val="20"/>
          <w:szCs w:val="20"/>
          <w:lang w:val="en-GB" w:eastAsia="en-GB"/>
        </w:rPr>
        <w:t xml:space="preserve"> provides an overview of operating hours on the days that the interviewers visited the facilities. This was gleaned through a combination of observation as well as caretaker and health worker feedback. </w:t>
      </w:r>
    </w:p>
    <w:p w14:paraId="07DF00F5" w14:textId="77777777" w:rsidR="009E6527" w:rsidRPr="00061730" w:rsidRDefault="00061730" w:rsidP="00061730">
      <w:pPr>
        <w:pStyle w:val="Caption"/>
        <w:spacing w:before="120" w:after="120"/>
        <w:rPr>
          <w:rFonts w:cstheme="minorHAnsi"/>
          <w:sz w:val="16"/>
          <w:szCs w:val="16"/>
          <w:lang w:val="en-GB" w:eastAsia="en-GB"/>
        </w:rPr>
      </w:pPr>
      <w:r w:rsidRPr="00061730">
        <w:rPr>
          <w:sz w:val="16"/>
          <w:szCs w:val="16"/>
        </w:rPr>
        <w:t xml:space="preserve">Table </w:t>
      </w:r>
      <w:r w:rsidRPr="00061730">
        <w:rPr>
          <w:sz w:val="16"/>
          <w:szCs w:val="16"/>
        </w:rPr>
        <w:fldChar w:fldCharType="begin"/>
      </w:r>
      <w:r w:rsidRPr="00061730">
        <w:rPr>
          <w:sz w:val="16"/>
          <w:szCs w:val="16"/>
        </w:rPr>
        <w:instrText xml:space="preserve"> SEQ Table \* ARABIC </w:instrText>
      </w:r>
      <w:r w:rsidRPr="00061730">
        <w:rPr>
          <w:sz w:val="16"/>
          <w:szCs w:val="16"/>
        </w:rPr>
        <w:fldChar w:fldCharType="separate"/>
      </w:r>
      <w:r w:rsidR="00D47127">
        <w:rPr>
          <w:noProof/>
          <w:sz w:val="16"/>
          <w:szCs w:val="16"/>
        </w:rPr>
        <w:t>3</w:t>
      </w:r>
      <w:r w:rsidRPr="00061730">
        <w:rPr>
          <w:sz w:val="16"/>
          <w:szCs w:val="16"/>
        </w:rPr>
        <w:fldChar w:fldCharType="end"/>
      </w:r>
      <w:r w:rsidRPr="00061730">
        <w:rPr>
          <w:sz w:val="16"/>
          <w:szCs w:val="16"/>
        </w:rPr>
        <w:t>: MCH operating hours</w:t>
      </w:r>
      <w:r w:rsidRPr="00061730">
        <w:rPr>
          <w:rFonts w:cstheme="minorHAnsi"/>
          <w:sz w:val="16"/>
          <w:szCs w:val="16"/>
          <w:lang w:val="en-GB" w:eastAsia="en-GB"/>
        </w:rPr>
        <w:t xml:space="preserve">  </w:t>
      </w:r>
      <w:r w:rsidR="002A6111" w:rsidRPr="00061730">
        <w:rPr>
          <w:rFonts w:cstheme="minorHAnsi"/>
          <w:i/>
          <w:sz w:val="16"/>
          <w:szCs w:val="16"/>
          <w:lang w:val="en-GB" w:eastAsia="en-GB"/>
        </w:rPr>
        <w:t xml:space="preserve"> </w:t>
      </w:r>
    </w:p>
    <w:tbl>
      <w:tblPr>
        <w:tblStyle w:val="GridTable4-Accent61"/>
        <w:tblW w:w="9345" w:type="dxa"/>
        <w:tblLayout w:type="fixed"/>
        <w:tblLook w:val="04A0" w:firstRow="1" w:lastRow="0" w:firstColumn="1" w:lastColumn="0" w:noHBand="0" w:noVBand="1"/>
      </w:tblPr>
      <w:tblGrid>
        <w:gridCol w:w="1711"/>
        <w:gridCol w:w="3005"/>
        <w:gridCol w:w="4629"/>
      </w:tblGrid>
      <w:tr w:rsidR="00AA1643" w:rsidRPr="003A5BB0" w14:paraId="63FDFC16" w14:textId="77777777" w:rsidTr="00AA164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hideMark/>
          </w:tcPr>
          <w:p w14:paraId="113467DD" w14:textId="77777777" w:rsidR="00AA1643" w:rsidRPr="003A5BB0" w:rsidRDefault="00AA1643" w:rsidP="00F43B8F">
            <w:pPr>
              <w:spacing w:before="60" w:after="60"/>
              <w:jc w:val="center"/>
              <w:rPr>
                <w:rFonts w:ascii="Arial" w:hAnsi="Arial" w:cs="Arial"/>
                <w:sz w:val="16"/>
                <w:szCs w:val="16"/>
              </w:rPr>
            </w:pPr>
            <w:r w:rsidRPr="003A5BB0">
              <w:rPr>
                <w:rFonts w:ascii="Arial" w:hAnsi="Arial" w:cs="Arial"/>
                <w:sz w:val="16"/>
                <w:szCs w:val="16"/>
              </w:rPr>
              <w:t>Sub county</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hideMark/>
          </w:tcPr>
          <w:p w14:paraId="22813DE1" w14:textId="77777777" w:rsidR="00AA1643" w:rsidRPr="003A5BB0" w:rsidRDefault="00AA1643" w:rsidP="000216C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A5BB0">
              <w:rPr>
                <w:rFonts w:ascii="Arial" w:hAnsi="Arial" w:cs="Arial"/>
                <w:bCs w:val="0"/>
                <w:sz w:val="16"/>
                <w:szCs w:val="16"/>
              </w:rPr>
              <w:t xml:space="preserve">Facilities </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532F9899" w14:textId="77777777" w:rsidR="00AA1643" w:rsidRPr="003A5BB0" w:rsidRDefault="00AA1643" w:rsidP="00295A03">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MCH operating hours (practice)</w:t>
            </w:r>
          </w:p>
        </w:tc>
      </w:tr>
      <w:tr w:rsidR="00AA1643" w:rsidRPr="003A5BB0" w14:paraId="6C068656" w14:textId="77777777" w:rsidTr="00AA1643">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21BCB9B3"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Kamukunji</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602CDC78"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Majengo</w:t>
            </w:r>
            <w:proofErr w:type="spellEnd"/>
            <w:r w:rsidRPr="003A5BB0">
              <w:rPr>
                <w:rFonts w:ascii="Arial" w:hAnsi="Arial" w:cs="Arial"/>
                <w:color w:val="222A35" w:themeColor="text2" w:themeShade="80"/>
                <w:sz w:val="16"/>
                <w:szCs w:val="16"/>
              </w:rPr>
              <w:t xml:space="preserve"> Health Centre </w:t>
            </w:r>
          </w:p>
          <w:p w14:paraId="3412DCA2"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Eastleigh</w:t>
            </w:r>
            <w:proofErr w:type="spellEnd"/>
            <w:r w:rsidRPr="003A5BB0">
              <w:rPr>
                <w:rFonts w:ascii="Arial" w:hAnsi="Arial" w:cs="Arial"/>
                <w:color w:val="222A35" w:themeColor="text2" w:themeShade="80"/>
                <w:sz w:val="16"/>
                <w:szCs w:val="16"/>
              </w:rPr>
              <w:t xml:space="preserve"> Health Centre (Biafra)</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2A7020D" w14:textId="77777777" w:rsidR="00AA1643" w:rsidRPr="003A5BB0" w:rsidRDefault="00AA1643" w:rsidP="00F20556">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Monday–Friday (M-F) morning hours (open at 8 am but do not start to see patients until 10 am – Biafra; </w:t>
            </w:r>
            <w:proofErr w:type="spellStart"/>
            <w:r>
              <w:rPr>
                <w:rFonts w:ascii="Arial" w:hAnsi="Arial" w:cs="Arial"/>
                <w:color w:val="222A35" w:themeColor="text2" w:themeShade="80"/>
                <w:sz w:val="16"/>
                <w:szCs w:val="16"/>
              </w:rPr>
              <w:t>Majengo</w:t>
            </w:r>
            <w:proofErr w:type="spellEnd"/>
            <w:r>
              <w:rPr>
                <w:rFonts w:ascii="Arial" w:hAnsi="Arial" w:cs="Arial"/>
                <w:color w:val="222A35" w:themeColor="text2" w:themeShade="80"/>
                <w:sz w:val="16"/>
                <w:szCs w:val="16"/>
              </w:rPr>
              <w:t xml:space="preserve"> starts at 9 am).</w:t>
            </w:r>
          </w:p>
        </w:tc>
      </w:tr>
      <w:tr w:rsidR="00AA1643" w:rsidRPr="003A5BB0" w14:paraId="49BCF3BF" w14:textId="77777777" w:rsidTr="00AA1643">
        <w:trPr>
          <w:trHeight w:val="457"/>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515C745F"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Westlands</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62E94656" w14:textId="77777777" w:rsidR="00AA1643"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Mji</w:t>
            </w:r>
            <w:proofErr w:type="spellEnd"/>
            <w:r w:rsidRPr="003A5BB0">
              <w:rPr>
                <w:rFonts w:ascii="Arial" w:hAnsi="Arial" w:cs="Arial"/>
                <w:color w:val="222A35" w:themeColor="text2" w:themeShade="80"/>
                <w:sz w:val="16"/>
                <w:szCs w:val="16"/>
              </w:rPr>
              <w:t xml:space="preserve"> </w:t>
            </w:r>
            <w:proofErr w:type="spellStart"/>
            <w:r w:rsidRPr="003A5BB0">
              <w:rPr>
                <w:rFonts w:ascii="Arial" w:hAnsi="Arial" w:cs="Arial"/>
                <w:color w:val="222A35" w:themeColor="text2" w:themeShade="80"/>
                <w:sz w:val="16"/>
                <w:szCs w:val="16"/>
              </w:rPr>
              <w:t>Wa</w:t>
            </w:r>
            <w:proofErr w:type="spellEnd"/>
            <w:r w:rsidRPr="003A5BB0">
              <w:rPr>
                <w:rFonts w:ascii="Arial" w:hAnsi="Arial" w:cs="Arial"/>
                <w:color w:val="222A35" w:themeColor="text2" w:themeShade="80"/>
                <w:sz w:val="16"/>
                <w:szCs w:val="16"/>
              </w:rPr>
              <w:t xml:space="preserve"> </w:t>
            </w:r>
            <w:proofErr w:type="spellStart"/>
            <w:r w:rsidRPr="003A5BB0">
              <w:rPr>
                <w:rFonts w:ascii="Arial" w:hAnsi="Arial" w:cs="Arial"/>
                <w:color w:val="222A35" w:themeColor="text2" w:themeShade="80"/>
                <w:sz w:val="16"/>
                <w:szCs w:val="16"/>
              </w:rPr>
              <w:t>Huruma</w:t>
            </w:r>
            <w:proofErr w:type="spellEnd"/>
            <w:r>
              <w:rPr>
                <w:rFonts w:ascii="Arial" w:hAnsi="Arial" w:cs="Arial"/>
                <w:color w:val="222A35" w:themeColor="text2" w:themeShade="80"/>
                <w:sz w:val="16"/>
                <w:szCs w:val="16"/>
              </w:rPr>
              <w:t xml:space="preserve"> Dispensary</w:t>
            </w:r>
          </w:p>
          <w:p w14:paraId="2A3C4BAD"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8E5FDA">
              <w:rPr>
                <w:rFonts w:ascii="Arial" w:hAnsi="Arial" w:cs="Arial"/>
                <w:color w:val="222A35" w:themeColor="text2" w:themeShade="80"/>
                <w:sz w:val="16"/>
                <w:szCs w:val="16"/>
              </w:rPr>
              <w:t>Mji</w:t>
            </w:r>
            <w:proofErr w:type="spellEnd"/>
            <w:r w:rsidRPr="008E5FDA">
              <w:rPr>
                <w:rFonts w:ascii="Arial" w:hAnsi="Arial" w:cs="Arial"/>
                <w:color w:val="222A35" w:themeColor="text2" w:themeShade="80"/>
                <w:sz w:val="16"/>
                <w:szCs w:val="16"/>
              </w:rPr>
              <w:t xml:space="preserve"> </w:t>
            </w:r>
            <w:proofErr w:type="spellStart"/>
            <w:r w:rsidRPr="008E5FDA">
              <w:rPr>
                <w:rFonts w:ascii="Arial" w:hAnsi="Arial" w:cs="Arial"/>
                <w:color w:val="222A35" w:themeColor="text2" w:themeShade="80"/>
                <w:sz w:val="16"/>
                <w:szCs w:val="16"/>
              </w:rPr>
              <w:t>wa</w:t>
            </w:r>
            <w:proofErr w:type="spellEnd"/>
            <w:r w:rsidRPr="008E5FDA">
              <w:rPr>
                <w:rFonts w:ascii="Arial" w:hAnsi="Arial" w:cs="Arial"/>
                <w:color w:val="222A35" w:themeColor="text2" w:themeShade="80"/>
                <w:sz w:val="16"/>
                <w:szCs w:val="16"/>
              </w:rPr>
              <w:t xml:space="preserve"> </w:t>
            </w:r>
            <w:proofErr w:type="spellStart"/>
            <w:r w:rsidRPr="008E5FDA">
              <w:rPr>
                <w:rFonts w:ascii="Arial" w:hAnsi="Arial" w:cs="Arial"/>
                <w:color w:val="222A35" w:themeColor="text2" w:themeShade="80"/>
                <w:sz w:val="16"/>
                <w:szCs w:val="16"/>
              </w:rPr>
              <w:t>Huruma</w:t>
            </w:r>
            <w:proofErr w:type="spellEnd"/>
            <w:r w:rsidRPr="008E5FDA">
              <w:rPr>
                <w:rFonts w:ascii="Arial" w:hAnsi="Arial" w:cs="Arial"/>
                <w:color w:val="222A35" w:themeColor="text2" w:themeShade="80"/>
                <w:sz w:val="16"/>
                <w:szCs w:val="16"/>
              </w:rPr>
              <w:t xml:space="preserve"> Health Centre</w:t>
            </w:r>
            <w:r>
              <w:rPr>
                <w:rStyle w:val="FootnoteReference"/>
                <w:rFonts w:ascii="Arial" w:hAnsi="Arial" w:cs="Arial"/>
                <w:color w:val="222A35" w:themeColor="text2" w:themeShade="80"/>
                <w:sz w:val="16"/>
                <w:szCs w:val="16"/>
              </w:rPr>
              <w:footnoteReference w:id="4"/>
            </w:r>
          </w:p>
          <w:p w14:paraId="662FFE0B"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Kangemi</w:t>
            </w:r>
            <w:proofErr w:type="spellEnd"/>
            <w:r w:rsidRPr="003A5BB0">
              <w:rPr>
                <w:rFonts w:ascii="Arial" w:hAnsi="Arial" w:cs="Arial"/>
                <w:color w:val="222A35" w:themeColor="text2" w:themeShade="80"/>
                <w:sz w:val="16"/>
                <w:szCs w:val="16"/>
              </w:rPr>
              <w:t xml:space="preserve"> Health Centre</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A31CFCD" w14:textId="77777777" w:rsidR="00AA1643" w:rsidRDefault="00AA1643" w:rsidP="00F205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9 am – 3 pm (closed for lunch)</w:t>
            </w:r>
          </w:p>
          <w:p w14:paraId="43FDC337" w14:textId="77777777" w:rsidR="00061730" w:rsidRDefault="00061730" w:rsidP="00F205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after 9 am – closing time not indicated</w:t>
            </w:r>
          </w:p>
          <w:p w14:paraId="7936E35A" w14:textId="77777777" w:rsidR="00AA1643" w:rsidRPr="003A5BB0" w:rsidRDefault="00AA1643" w:rsidP="00F205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8 am – closing time not indicated</w:t>
            </w:r>
          </w:p>
        </w:tc>
      </w:tr>
      <w:tr w:rsidR="00AA1643" w:rsidRPr="003A5BB0" w14:paraId="06ABC0B7" w14:textId="77777777" w:rsidTr="00AA164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0DFD08F" w14:textId="77777777" w:rsidR="00AA1643" w:rsidRPr="003A5BB0" w:rsidRDefault="00AA1643" w:rsidP="00742CB8">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Embakasi</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5550E68C" w14:textId="77777777" w:rsidR="00AA1643" w:rsidRPr="003A5BB0" w:rsidRDefault="00AA1643" w:rsidP="00742C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sidRPr="003A5BB0">
              <w:rPr>
                <w:rFonts w:ascii="Arial" w:hAnsi="Arial" w:cs="Arial"/>
                <w:color w:val="222A35" w:themeColor="text2" w:themeShade="80"/>
                <w:sz w:val="16"/>
                <w:szCs w:val="16"/>
              </w:rPr>
              <w:t>MMM (FBO Health Centre)</w:t>
            </w:r>
          </w:p>
          <w:p w14:paraId="1BA97894" w14:textId="77777777" w:rsidR="00AA1643" w:rsidRPr="003A5BB0" w:rsidRDefault="00AA1643" w:rsidP="00742C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Mukuru</w:t>
            </w:r>
            <w:proofErr w:type="spellEnd"/>
            <w:r w:rsidRPr="003A5BB0">
              <w:rPr>
                <w:rFonts w:ascii="Arial" w:hAnsi="Arial" w:cs="Arial"/>
                <w:color w:val="222A35" w:themeColor="text2" w:themeShade="80"/>
                <w:sz w:val="16"/>
                <w:szCs w:val="16"/>
              </w:rPr>
              <w:t xml:space="preserve"> Health Centre </w:t>
            </w:r>
          </w:p>
          <w:p w14:paraId="4F8398EF" w14:textId="77777777" w:rsidR="00AA1643" w:rsidRDefault="00AA1643" w:rsidP="00742C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sidRPr="003A5BB0">
              <w:rPr>
                <w:rFonts w:ascii="Arial" w:hAnsi="Arial" w:cs="Arial"/>
                <w:color w:val="222A35" w:themeColor="text2" w:themeShade="80"/>
                <w:sz w:val="16"/>
                <w:szCs w:val="16"/>
              </w:rPr>
              <w:t>Kayole2 Health Centre</w:t>
            </w:r>
          </w:p>
          <w:p w14:paraId="068EFA7F" w14:textId="77777777" w:rsidR="00AA1643" w:rsidRPr="003A5BB0" w:rsidRDefault="00AA1643" w:rsidP="00742C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2F336E">
              <w:rPr>
                <w:rFonts w:ascii="Arial" w:hAnsi="Arial" w:cs="Arial"/>
                <w:color w:val="222A35" w:themeColor="text2" w:themeShade="80"/>
                <w:sz w:val="16"/>
                <w:szCs w:val="16"/>
              </w:rPr>
              <w:t>Mukuru</w:t>
            </w:r>
            <w:proofErr w:type="spellEnd"/>
            <w:r w:rsidRPr="002F336E">
              <w:rPr>
                <w:rFonts w:ascii="Arial" w:hAnsi="Arial" w:cs="Arial"/>
                <w:color w:val="222A35" w:themeColor="text2" w:themeShade="80"/>
                <w:sz w:val="16"/>
                <w:szCs w:val="16"/>
              </w:rPr>
              <w:t xml:space="preserve"> Kwa Reuben</w:t>
            </w:r>
            <w:r>
              <w:rPr>
                <w:rFonts w:ascii="Arial" w:hAnsi="Arial" w:cs="Arial"/>
                <w:color w:val="222A35" w:themeColor="text2" w:themeShade="80"/>
                <w:sz w:val="16"/>
                <w:szCs w:val="16"/>
              </w:rPr>
              <w:t xml:space="preserve"> FBO</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362C7C4E" w14:textId="77777777" w:rsidR="00AA1643" w:rsidRDefault="00AA1643" w:rsidP="00742CB8">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M-F 8 am (MCH; nutrition </w:t>
            </w:r>
            <w:r w:rsidRPr="00405DFD">
              <w:rPr>
                <w:rFonts w:ascii="Arial" w:hAnsi="Arial" w:cs="Arial"/>
                <w:color w:val="222A35" w:themeColor="text2" w:themeShade="80"/>
                <w:sz w:val="16"/>
                <w:szCs w:val="16"/>
              </w:rPr>
              <w:t xml:space="preserve">from 9 am) – </w:t>
            </w:r>
            <w:r w:rsidR="00405DFD" w:rsidRPr="00405DFD">
              <w:rPr>
                <w:rFonts w:ascii="Arial" w:hAnsi="Arial" w:cs="Arial"/>
                <w:color w:val="222A35" w:themeColor="text2" w:themeShade="80"/>
                <w:sz w:val="16"/>
                <w:szCs w:val="16"/>
              </w:rPr>
              <w:t>1</w:t>
            </w:r>
            <w:r w:rsidRPr="00405DFD">
              <w:rPr>
                <w:rFonts w:ascii="Arial" w:hAnsi="Arial" w:cs="Arial"/>
                <w:color w:val="222A35" w:themeColor="text2" w:themeShade="80"/>
                <w:sz w:val="16"/>
                <w:szCs w:val="16"/>
              </w:rPr>
              <w:t xml:space="preserve"> pm</w:t>
            </w:r>
          </w:p>
          <w:p w14:paraId="63A98F94" w14:textId="77777777" w:rsidR="00AA1643" w:rsidRDefault="00AA1643" w:rsidP="00742CB8">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M-F 8 am </w:t>
            </w:r>
            <w:r w:rsidR="00061730">
              <w:rPr>
                <w:rFonts w:ascii="Arial" w:hAnsi="Arial" w:cs="Arial"/>
                <w:color w:val="222A35" w:themeColor="text2" w:themeShade="80"/>
                <w:sz w:val="16"/>
                <w:szCs w:val="16"/>
              </w:rPr>
              <w:t>–</w:t>
            </w:r>
            <w:r w:rsidR="00405DFD">
              <w:rPr>
                <w:rFonts w:ascii="Arial" w:hAnsi="Arial" w:cs="Arial"/>
                <w:color w:val="222A35" w:themeColor="text2" w:themeShade="80"/>
                <w:sz w:val="16"/>
                <w:szCs w:val="16"/>
              </w:rPr>
              <w:t xml:space="preserve"> </w:t>
            </w:r>
            <w:r w:rsidR="00061730">
              <w:rPr>
                <w:rFonts w:ascii="Arial" w:hAnsi="Arial" w:cs="Arial"/>
                <w:color w:val="222A35" w:themeColor="text2" w:themeShade="80"/>
                <w:sz w:val="16"/>
                <w:szCs w:val="16"/>
              </w:rPr>
              <w:t>afternoon (not indicated)</w:t>
            </w:r>
          </w:p>
          <w:p w14:paraId="7AF61966" w14:textId="77777777" w:rsidR="00AA1643" w:rsidRDefault="00755FA0" w:rsidP="00742CB8">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8 am (MCH 8 am; 10</w:t>
            </w:r>
            <w:r w:rsidR="00AA1643">
              <w:rPr>
                <w:rFonts w:ascii="Arial" w:hAnsi="Arial" w:cs="Arial"/>
                <w:color w:val="222A35" w:themeColor="text2" w:themeShade="80"/>
                <w:sz w:val="16"/>
                <w:szCs w:val="16"/>
              </w:rPr>
              <w:t xml:space="preserve"> am nutrition clinic)</w:t>
            </w:r>
            <w:r>
              <w:rPr>
                <w:rFonts w:ascii="Arial" w:hAnsi="Arial" w:cs="Arial"/>
                <w:color w:val="222A35" w:themeColor="text2" w:themeShade="80"/>
                <w:sz w:val="16"/>
                <w:szCs w:val="16"/>
              </w:rPr>
              <w:t xml:space="preserve"> – 4 pm</w:t>
            </w:r>
          </w:p>
          <w:p w14:paraId="4E3948D4" w14:textId="77777777" w:rsidR="00AA1643" w:rsidRPr="003A5BB0" w:rsidRDefault="00AA1643" w:rsidP="00742CB8">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8 am – 1 pm</w:t>
            </w:r>
          </w:p>
        </w:tc>
      </w:tr>
      <w:tr w:rsidR="00AA1643" w:rsidRPr="003A5BB0" w14:paraId="4B4CD6F7" w14:textId="77777777" w:rsidTr="00AA1643">
        <w:trPr>
          <w:trHeight w:val="430"/>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60CDBD7"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Makadara</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365A72CA"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Makadara</w:t>
            </w:r>
            <w:proofErr w:type="spellEnd"/>
            <w:r w:rsidRPr="003A5BB0">
              <w:rPr>
                <w:rFonts w:ascii="Arial" w:hAnsi="Arial" w:cs="Arial"/>
                <w:color w:val="222A35" w:themeColor="text2" w:themeShade="80"/>
                <w:sz w:val="16"/>
                <w:szCs w:val="16"/>
              </w:rPr>
              <w:t xml:space="preserve"> Health Centre </w:t>
            </w:r>
          </w:p>
          <w:p w14:paraId="46F28540"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Bahati</w:t>
            </w:r>
            <w:proofErr w:type="spellEnd"/>
            <w:r w:rsidRPr="003A5BB0">
              <w:rPr>
                <w:rFonts w:ascii="Arial" w:hAnsi="Arial" w:cs="Arial"/>
                <w:color w:val="222A35" w:themeColor="text2" w:themeShade="80"/>
                <w:sz w:val="16"/>
                <w:szCs w:val="16"/>
              </w:rPr>
              <w:t xml:space="preserve"> Health Centre</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60EEC83B" w14:textId="77777777" w:rsidR="00AA1643" w:rsidRDefault="00AA1643" w:rsidP="00F205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morning hours (finish at lunch time or shortly thereafter)</w:t>
            </w:r>
          </w:p>
          <w:p w14:paraId="4384736C" w14:textId="77777777" w:rsidR="00AA1643" w:rsidRPr="003A5BB0" w:rsidRDefault="00AA1643" w:rsidP="0006173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Observ</w:t>
            </w:r>
            <w:r w:rsidR="00061730">
              <w:rPr>
                <w:rFonts w:ascii="Arial" w:hAnsi="Arial" w:cs="Arial"/>
                <w:color w:val="222A35" w:themeColor="text2" w:themeShade="80"/>
                <w:sz w:val="16"/>
                <w:szCs w:val="16"/>
              </w:rPr>
              <w:t xml:space="preserve">ation </w:t>
            </w:r>
            <w:r>
              <w:rPr>
                <w:rFonts w:ascii="Arial" w:hAnsi="Arial" w:cs="Arial"/>
                <w:color w:val="222A35" w:themeColor="text2" w:themeShade="80"/>
                <w:sz w:val="16"/>
                <w:szCs w:val="16"/>
              </w:rPr>
              <w:t>and caretakers recount</w:t>
            </w:r>
            <w:r w:rsidR="00061730">
              <w:rPr>
                <w:rFonts w:ascii="Arial" w:hAnsi="Arial" w:cs="Arial"/>
                <w:color w:val="222A35" w:themeColor="text2" w:themeShade="80"/>
                <w:sz w:val="16"/>
                <w:szCs w:val="16"/>
              </w:rPr>
              <w:t>ed</w:t>
            </w:r>
            <w:r>
              <w:rPr>
                <w:rFonts w:ascii="Arial" w:hAnsi="Arial" w:cs="Arial"/>
                <w:color w:val="222A35" w:themeColor="text2" w:themeShade="80"/>
                <w:sz w:val="16"/>
                <w:szCs w:val="16"/>
              </w:rPr>
              <w:t xml:space="preserve"> that </w:t>
            </w:r>
            <w:proofErr w:type="spellStart"/>
            <w:r>
              <w:rPr>
                <w:rFonts w:ascii="Arial" w:hAnsi="Arial" w:cs="Arial"/>
                <w:color w:val="222A35" w:themeColor="text2" w:themeShade="80"/>
                <w:sz w:val="16"/>
                <w:szCs w:val="16"/>
              </w:rPr>
              <w:t>Makadara</w:t>
            </w:r>
            <w:proofErr w:type="spellEnd"/>
            <w:r>
              <w:rPr>
                <w:rFonts w:ascii="Arial" w:hAnsi="Arial" w:cs="Arial"/>
                <w:color w:val="222A35" w:themeColor="text2" w:themeShade="80"/>
                <w:sz w:val="16"/>
                <w:szCs w:val="16"/>
              </w:rPr>
              <w:t xml:space="preserve"> turns women away when </w:t>
            </w:r>
            <w:r w:rsidR="00061730">
              <w:rPr>
                <w:rFonts w:ascii="Arial" w:hAnsi="Arial" w:cs="Arial"/>
                <w:color w:val="222A35" w:themeColor="text2" w:themeShade="80"/>
                <w:sz w:val="16"/>
                <w:szCs w:val="16"/>
              </w:rPr>
              <w:t xml:space="preserve">they </w:t>
            </w:r>
            <w:r>
              <w:rPr>
                <w:rFonts w:ascii="Arial" w:hAnsi="Arial" w:cs="Arial"/>
                <w:color w:val="222A35" w:themeColor="text2" w:themeShade="80"/>
                <w:sz w:val="16"/>
                <w:szCs w:val="16"/>
              </w:rPr>
              <w:t>arrive late</w:t>
            </w:r>
          </w:p>
        </w:tc>
      </w:tr>
      <w:tr w:rsidR="00AA1643" w:rsidRPr="003A5BB0" w14:paraId="7DE73DC5" w14:textId="77777777" w:rsidTr="00AA164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5DDFAEAD"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Kasarani</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693D00BB"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Dandora</w:t>
            </w:r>
            <w:proofErr w:type="spellEnd"/>
            <w:r w:rsidRPr="003A5BB0">
              <w:rPr>
                <w:rFonts w:ascii="Arial" w:hAnsi="Arial" w:cs="Arial"/>
                <w:color w:val="222A35" w:themeColor="text2" w:themeShade="80"/>
                <w:sz w:val="16"/>
                <w:szCs w:val="16"/>
              </w:rPr>
              <w:t xml:space="preserve"> 1 Health Centre </w:t>
            </w:r>
          </w:p>
          <w:p w14:paraId="6451F6A0"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Karobangi</w:t>
            </w:r>
            <w:proofErr w:type="spellEnd"/>
            <w:r w:rsidRPr="003A5BB0">
              <w:rPr>
                <w:rFonts w:ascii="Arial" w:hAnsi="Arial" w:cs="Arial"/>
                <w:color w:val="222A35" w:themeColor="text2" w:themeShade="80"/>
                <w:sz w:val="16"/>
                <w:szCs w:val="16"/>
              </w:rPr>
              <w:t xml:space="preserve"> North Health Centre</w:t>
            </w:r>
          </w:p>
          <w:p w14:paraId="376F3928" w14:textId="77777777" w:rsidR="00AA1643"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Kasarani</w:t>
            </w:r>
            <w:proofErr w:type="spellEnd"/>
            <w:r w:rsidRPr="003A5BB0">
              <w:rPr>
                <w:rFonts w:ascii="Arial" w:hAnsi="Arial" w:cs="Arial"/>
                <w:color w:val="222A35" w:themeColor="text2" w:themeShade="80"/>
                <w:sz w:val="16"/>
                <w:szCs w:val="16"/>
              </w:rPr>
              <w:t xml:space="preserve"> </w:t>
            </w:r>
            <w:r>
              <w:rPr>
                <w:rFonts w:ascii="Arial" w:hAnsi="Arial" w:cs="Arial"/>
                <w:color w:val="222A35" w:themeColor="text2" w:themeShade="80"/>
                <w:sz w:val="16"/>
                <w:szCs w:val="16"/>
              </w:rPr>
              <w:t>H</w:t>
            </w:r>
            <w:r w:rsidRPr="003A5BB0">
              <w:rPr>
                <w:rFonts w:ascii="Arial" w:hAnsi="Arial" w:cs="Arial"/>
                <w:color w:val="222A35" w:themeColor="text2" w:themeShade="80"/>
                <w:sz w:val="16"/>
                <w:szCs w:val="16"/>
              </w:rPr>
              <w:t xml:space="preserve">ealth </w:t>
            </w:r>
            <w:r>
              <w:rPr>
                <w:rFonts w:ascii="Arial" w:hAnsi="Arial" w:cs="Arial"/>
                <w:color w:val="222A35" w:themeColor="text2" w:themeShade="80"/>
                <w:sz w:val="16"/>
                <w:szCs w:val="16"/>
              </w:rPr>
              <w:t>C</w:t>
            </w:r>
            <w:r w:rsidRPr="003A5BB0">
              <w:rPr>
                <w:rFonts w:ascii="Arial" w:hAnsi="Arial" w:cs="Arial"/>
                <w:color w:val="222A35" w:themeColor="text2" w:themeShade="80"/>
                <w:sz w:val="16"/>
                <w:szCs w:val="16"/>
              </w:rPr>
              <w:t xml:space="preserve">entre </w:t>
            </w:r>
          </w:p>
          <w:p w14:paraId="40F095FD" w14:textId="77777777" w:rsidR="00AA1643" w:rsidRPr="003A5BB0" w:rsidRDefault="00A30038"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German Baraka Hospital</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68B6D84F" w14:textId="77777777" w:rsidR="00AA1643" w:rsidRDefault="00AA1643" w:rsidP="00295A0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morning hours (start seeing patients at 9:30 am (</w:t>
            </w:r>
            <w:proofErr w:type="spellStart"/>
            <w:r>
              <w:rPr>
                <w:rFonts w:ascii="Arial" w:hAnsi="Arial" w:cs="Arial"/>
                <w:color w:val="222A35" w:themeColor="text2" w:themeShade="80"/>
                <w:sz w:val="16"/>
                <w:szCs w:val="16"/>
              </w:rPr>
              <w:t>Kariobangi</w:t>
            </w:r>
            <w:proofErr w:type="spellEnd"/>
            <w:r>
              <w:rPr>
                <w:rFonts w:ascii="Arial" w:hAnsi="Arial" w:cs="Arial"/>
                <w:color w:val="222A35" w:themeColor="text2" w:themeShade="80"/>
                <w:sz w:val="16"/>
                <w:szCs w:val="16"/>
              </w:rPr>
              <w:t>; registration closed after midday)</w:t>
            </w:r>
          </w:p>
          <w:p w14:paraId="499540E4" w14:textId="77777777" w:rsidR="00AA1643" w:rsidRPr="003A5BB0" w:rsidRDefault="00AA1643" w:rsidP="00295A0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German Baraka: M-F 8 am – 4 pm (registration starts at 6 am)</w:t>
            </w:r>
          </w:p>
        </w:tc>
      </w:tr>
      <w:tr w:rsidR="00AA1643" w:rsidRPr="003A5BB0" w14:paraId="21D74D7A" w14:textId="77777777" w:rsidTr="00AA1643">
        <w:trPr>
          <w:trHeight w:val="638"/>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2B39B1B1"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lastRenderedPageBreak/>
              <w:t>Starehe</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5F62A858"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Huruma</w:t>
            </w:r>
            <w:proofErr w:type="spellEnd"/>
            <w:r w:rsidRPr="003A5BB0">
              <w:rPr>
                <w:rFonts w:ascii="Arial" w:hAnsi="Arial" w:cs="Arial"/>
                <w:color w:val="222A35" w:themeColor="text2" w:themeShade="80"/>
                <w:sz w:val="16"/>
                <w:szCs w:val="16"/>
              </w:rPr>
              <w:t xml:space="preserve"> Lions Health Centre </w:t>
            </w:r>
          </w:p>
          <w:p w14:paraId="66E11806"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Pangani</w:t>
            </w:r>
            <w:proofErr w:type="spellEnd"/>
            <w:r w:rsidRPr="003A5BB0">
              <w:rPr>
                <w:rFonts w:ascii="Arial" w:hAnsi="Arial" w:cs="Arial"/>
                <w:color w:val="222A35" w:themeColor="text2" w:themeShade="80"/>
                <w:sz w:val="16"/>
                <w:szCs w:val="16"/>
              </w:rPr>
              <w:t xml:space="preserve"> Health Centre</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64639923" w14:textId="77777777" w:rsidR="00AA1643" w:rsidRDefault="00AA1643" w:rsidP="00AC08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M-F 8 am – </w:t>
            </w:r>
            <w:r w:rsidR="00AC08B7">
              <w:rPr>
                <w:rFonts w:ascii="Arial" w:hAnsi="Arial" w:cs="Arial"/>
                <w:color w:val="222A35" w:themeColor="text2" w:themeShade="80"/>
                <w:sz w:val="16"/>
                <w:szCs w:val="16"/>
              </w:rPr>
              <w:t>4 pm (one hour lunch break)</w:t>
            </w:r>
          </w:p>
          <w:p w14:paraId="5BF6B053" w14:textId="77777777" w:rsidR="00405DFD" w:rsidRPr="003A5BB0" w:rsidRDefault="00405DFD" w:rsidP="00AC08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9 am – 4:30 pm (one hour lunch break)</w:t>
            </w:r>
          </w:p>
        </w:tc>
      </w:tr>
      <w:tr w:rsidR="00AA1643" w:rsidRPr="003A5BB0" w14:paraId="62FF3A35" w14:textId="77777777" w:rsidTr="00AA1643">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5BC3F552"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Ruaraka</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07A726E1"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Korogocho</w:t>
            </w:r>
            <w:proofErr w:type="spellEnd"/>
            <w:r w:rsidRPr="003A5BB0">
              <w:rPr>
                <w:rFonts w:ascii="Arial" w:hAnsi="Arial" w:cs="Arial"/>
                <w:color w:val="222A35" w:themeColor="text2" w:themeShade="80"/>
                <w:sz w:val="16"/>
                <w:szCs w:val="16"/>
              </w:rPr>
              <w:t xml:space="preserve"> Health Centre </w:t>
            </w:r>
          </w:p>
          <w:p w14:paraId="328B4248"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Kahawa</w:t>
            </w:r>
            <w:proofErr w:type="spellEnd"/>
            <w:r w:rsidRPr="003A5BB0">
              <w:rPr>
                <w:rFonts w:ascii="Arial" w:hAnsi="Arial" w:cs="Arial"/>
                <w:color w:val="222A35" w:themeColor="text2" w:themeShade="80"/>
                <w:sz w:val="16"/>
                <w:szCs w:val="16"/>
              </w:rPr>
              <w:t xml:space="preserve"> West Health Centre</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237A9502" w14:textId="77777777" w:rsidR="00AA1643" w:rsidRDefault="003B3CBD"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8 am – 4:30 pm (with a one hour lunch break)</w:t>
            </w:r>
          </w:p>
          <w:p w14:paraId="30B320D4" w14:textId="77777777" w:rsidR="00AA1643" w:rsidRPr="003A5BB0" w:rsidRDefault="00AA1643" w:rsidP="00F43B8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M-F morning hours (mothers turned away if arrive after 10 am)</w:t>
            </w:r>
          </w:p>
        </w:tc>
      </w:tr>
      <w:tr w:rsidR="00AA1643" w:rsidRPr="003A5BB0" w14:paraId="2F310F64" w14:textId="77777777" w:rsidTr="00AA1643">
        <w:trPr>
          <w:trHeight w:val="340"/>
        </w:trPr>
        <w:tc>
          <w:tcPr>
            <w:cnfStyle w:val="001000000000" w:firstRow="0" w:lastRow="0" w:firstColumn="1" w:lastColumn="0" w:oddVBand="0" w:evenVBand="0" w:oddHBand="0" w:evenHBand="0" w:firstRowFirstColumn="0" w:firstRowLastColumn="0" w:lastRowFirstColumn="0" w:lastRowLastColumn="0"/>
            <w:tcW w:w="1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468F13F" w14:textId="77777777" w:rsidR="00AA1643" w:rsidRPr="003A5BB0" w:rsidRDefault="00AA1643" w:rsidP="00F43B8F">
            <w:pPr>
              <w:spacing w:before="60" w:after="60"/>
              <w:rPr>
                <w:rFonts w:ascii="Arial" w:hAnsi="Arial" w:cs="Arial"/>
                <w:b w:val="0"/>
                <w:color w:val="222A35" w:themeColor="text2" w:themeShade="80"/>
                <w:sz w:val="16"/>
                <w:szCs w:val="16"/>
              </w:rPr>
            </w:pPr>
            <w:proofErr w:type="spellStart"/>
            <w:r w:rsidRPr="003A5BB0">
              <w:rPr>
                <w:rFonts w:ascii="Arial" w:hAnsi="Arial" w:cs="Arial"/>
                <w:b w:val="0"/>
                <w:color w:val="222A35" w:themeColor="text2" w:themeShade="80"/>
                <w:sz w:val="16"/>
                <w:szCs w:val="16"/>
              </w:rPr>
              <w:t>Dagoreti</w:t>
            </w:r>
            <w:proofErr w:type="spellEnd"/>
            <w:r w:rsidRPr="003A5BB0">
              <w:rPr>
                <w:rFonts w:ascii="Arial" w:hAnsi="Arial" w:cs="Arial"/>
                <w:b w:val="0"/>
                <w:color w:val="222A35" w:themeColor="text2" w:themeShade="80"/>
                <w:sz w:val="16"/>
                <w:szCs w:val="16"/>
              </w:rPr>
              <w:t xml:space="preserve"> </w:t>
            </w:r>
          </w:p>
        </w:tc>
        <w:tc>
          <w:tcPr>
            <w:tcW w:w="30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hideMark/>
          </w:tcPr>
          <w:p w14:paraId="78FBF099"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Riruta</w:t>
            </w:r>
            <w:proofErr w:type="spellEnd"/>
            <w:r w:rsidRPr="003A5BB0">
              <w:rPr>
                <w:rFonts w:ascii="Arial" w:hAnsi="Arial" w:cs="Arial"/>
                <w:color w:val="222A35" w:themeColor="text2" w:themeShade="80"/>
                <w:sz w:val="16"/>
                <w:szCs w:val="16"/>
              </w:rPr>
              <w:t xml:space="preserve"> Health Centre </w:t>
            </w:r>
          </w:p>
          <w:p w14:paraId="744A2161" w14:textId="77777777" w:rsidR="00AA1643" w:rsidRPr="003A5BB0" w:rsidRDefault="00AA1643" w:rsidP="00F43B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proofErr w:type="spellStart"/>
            <w:r w:rsidRPr="003A5BB0">
              <w:rPr>
                <w:rFonts w:ascii="Arial" w:hAnsi="Arial" w:cs="Arial"/>
                <w:color w:val="222A35" w:themeColor="text2" w:themeShade="80"/>
                <w:sz w:val="16"/>
                <w:szCs w:val="16"/>
              </w:rPr>
              <w:t>Waithaka</w:t>
            </w:r>
            <w:proofErr w:type="spellEnd"/>
            <w:r w:rsidRPr="003A5BB0">
              <w:rPr>
                <w:rFonts w:ascii="Arial" w:hAnsi="Arial" w:cs="Arial"/>
                <w:color w:val="222A35" w:themeColor="text2" w:themeShade="80"/>
                <w:sz w:val="16"/>
                <w:szCs w:val="16"/>
              </w:rPr>
              <w:t xml:space="preserve"> Health Centre</w:t>
            </w:r>
          </w:p>
        </w:tc>
        <w:tc>
          <w:tcPr>
            <w:tcW w:w="46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FBFBF" w:themeFill="background1" w:themeFillShade="BF"/>
          </w:tcPr>
          <w:p w14:paraId="5AEF738F" w14:textId="77777777" w:rsidR="00AA1643" w:rsidRPr="003A5BB0" w:rsidRDefault="00AA1643" w:rsidP="0006173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color w:val="222A35" w:themeColor="text2" w:themeShade="80"/>
                <w:sz w:val="16"/>
                <w:szCs w:val="16"/>
              </w:rPr>
            </w:pPr>
            <w:r>
              <w:rPr>
                <w:rFonts w:ascii="Arial" w:hAnsi="Arial" w:cs="Arial"/>
                <w:color w:val="222A35" w:themeColor="text2" w:themeShade="80"/>
                <w:sz w:val="16"/>
                <w:szCs w:val="16"/>
              </w:rPr>
              <w:t xml:space="preserve">M-F 8 am – 5 pm (not </w:t>
            </w:r>
            <w:r w:rsidR="00061730">
              <w:rPr>
                <w:rFonts w:ascii="Arial" w:hAnsi="Arial" w:cs="Arial"/>
                <w:color w:val="222A35" w:themeColor="text2" w:themeShade="80"/>
                <w:sz w:val="16"/>
                <w:szCs w:val="16"/>
              </w:rPr>
              <w:t xml:space="preserve">indicated </w:t>
            </w:r>
            <w:r>
              <w:rPr>
                <w:rFonts w:ascii="Arial" w:hAnsi="Arial" w:cs="Arial"/>
                <w:color w:val="222A35" w:themeColor="text2" w:themeShade="80"/>
                <w:sz w:val="16"/>
                <w:szCs w:val="16"/>
              </w:rPr>
              <w:t xml:space="preserve">when stop attending </w:t>
            </w:r>
            <w:r w:rsidR="00061730">
              <w:rPr>
                <w:rFonts w:ascii="Arial" w:hAnsi="Arial" w:cs="Arial"/>
                <w:color w:val="222A35" w:themeColor="text2" w:themeShade="80"/>
                <w:sz w:val="16"/>
                <w:szCs w:val="16"/>
              </w:rPr>
              <w:t xml:space="preserve">to </w:t>
            </w:r>
            <w:r>
              <w:rPr>
                <w:rFonts w:ascii="Arial" w:hAnsi="Arial" w:cs="Arial"/>
                <w:color w:val="222A35" w:themeColor="text2" w:themeShade="80"/>
                <w:sz w:val="16"/>
                <w:szCs w:val="16"/>
              </w:rPr>
              <w:t>patients</w:t>
            </w:r>
            <w:r w:rsidR="00061730">
              <w:rPr>
                <w:rFonts w:ascii="Arial" w:hAnsi="Arial" w:cs="Arial"/>
                <w:color w:val="222A35" w:themeColor="text2" w:themeShade="80"/>
                <w:sz w:val="16"/>
                <w:szCs w:val="16"/>
              </w:rPr>
              <w:t>)</w:t>
            </w:r>
          </w:p>
        </w:tc>
      </w:tr>
    </w:tbl>
    <w:p w14:paraId="08282C06" w14:textId="77777777" w:rsidR="00061730" w:rsidRPr="00061730" w:rsidRDefault="00061730" w:rsidP="00061730">
      <w:pPr>
        <w:autoSpaceDE w:val="0"/>
        <w:autoSpaceDN w:val="0"/>
        <w:adjustRightInd w:val="0"/>
        <w:spacing w:before="60" w:after="60"/>
        <w:rPr>
          <w:rFonts w:cstheme="minorHAnsi"/>
          <w:sz w:val="20"/>
          <w:szCs w:val="20"/>
          <w:lang w:val="en-GB" w:eastAsia="en-GB"/>
        </w:rPr>
      </w:pPr>
      <w:r w:rsidRPr="00061730">
        <w:rPr>
          <w:rFonts w:cstheme="minorHAnsi"/>
          <w:sz w:val="20"/>
          <w:szCs w:val="20"/>
          <w:lang w:val="en-GB" w:eastAsia="en-GB"/>
        </w:rPr>
        <w:t>As recounted by caretakers:</w:t>
      </w:r>
    </w:p>
    <w:p w14:paraId="082D9A9B" w14:textId="02002578" w:rsidR="00061730" w:rsidRPr="00645AC2" w:rsidRDefault="00061730" w:rsidP="00061730">
      <w:pPr>
        <w:autoSpaceDE w:val="0"/>
        <w:autoSpaceDN w:val="0"/>
        <w:adjustRightInd w:val="0"/>
        <w:spacing w:before="60" w:after="60"/>
        <w:rPr>
          <w:rFonts w:cstheme="minorHAnsi"/>
          <w:sz w:val="20"/>
          <w:szCs w:val="20"/>
          <w:lang w:val="en-GB" w:eastAsia="en-GB"/>
        </w:rPr>
      </w:pPr>
      <w:r>
        <w:rPr>
          <w:rFonts w:cstheme="minorHAnsi"/>
          <w:i/>
          <w:sz w:val="20"/>
          <w:szCs w:val="20"/>
          <w:lang w:val="en-GB" w:eastAsia="en-GB"/>
        </w:rPr>
        <w:t>“…if a mother</w:t>
      </w:r>
      <w:r w:rsidRPr="00845BAF">
        <w:rPr>
          <w:rFonts w:cstheme="minorHAnsi"/>
          <w:i/>
          <w:sz w:val="20"/>
          <w:szCs w:val="20"/>
          <w:lang w:val="en-GB" w:eastAsia="en-GB"/>
        </w:rPr>
        <w:t xml:space="preserve"> come</w:t>
      </w:r>
      <w:r>
        <w:rPr>
          <w:rFonts w:cstheme="minorHAnsi"/>
          <w:i/>
          <w:sz w:val="20"/>
          <w:szCs w:val="20"/>
          <w:lang w:val="en-GB" w:eastAsia="en-GB"/>
        </w:rPr>
        <w:t>s</w:t>
      </w:r>
      <w:r w:rsidRPr="00845BAF">
        <w:rPr>
          <w:rFonts w:cstheme="minorHAnsi"/>
          <w:i/>
          <w:sz w:val="20"/>
          <w:szCs w:val="20"/>
          <w:lang w:val="en-GB" w:eastAsia="en-GB"/>
        </w:rPr>
        <w:t xml:space="preserve"> in after 10.00</w:t>
      </w:r>
      <w:r w:rsidR="008F4029">
        <w:rPr>
          <w:rFonts w:cstheme="minorHAnsi"/>
          <w:i/>
          <w:sz w:val="20"/>
          <w:szCs w:val="20"/>
          <w:lang w:val="en-GB" w:eastAsia="en-GB"/>
        </w:rPr>
        <w:t xml:space="preserve"> </w:t>
      </w:r>
      <w:r w:rsidRPr="00845BAF">
        <w:rPr>
          <w:rFonts w:cstheme="minorHAnsi"/>
          <w:i/>
          <w:sz w:val="20"/>
          <w:szCs w:val="20"/>
          <w:lang w:val="en-GB" w:eastAsia="en-GB"/>
        </w:rPr>
        <w:t>am, she is not attended to and has to come another day</w:t>
      </w:r>
      <w:r w:rsidRPr="00645AC2">
        <w:rPr>
          <w:rFonts w:cstheme="minorHAnsi"/>
          <w:i/>
          <w:sz w:val="20"/>
          <w:szCs w:val="20"/>
          <w:lang w:val="en-GB" w:eastAsia="en-GB"/>
        </w:rPr>
        <w:t xml:space="preserve">” </w:t>
      </w:r>
      <w:r w:rsidRPr="00645AC2">
        <w:rPr>
          <w:rFonts w:cstheme="minorHAnsi"/>
          <w:sz w:val="20"/>
          <w:szCs w:val="20"/>
          <w:lang w:val="en-GB" w:eastAsia="en-GB"/>
        </w:rPr>
        <w:t xml:space="preserve">(Mother, </w:t>
      </w:r>
      <w:r w:rsidR="00792B7D">
        <w:rPr>
          <w:rFonts w:cstheme="minorHAnsi"/>
          <w:sz w:val="20"/>
          <w:szCs w:val="20"/>
          <w:lang w:val="en-GB" w:eastAsia="en-GB"/>
        </w:rPr>
        <w:t xml:space="preserve">Health Centre in </w:t>
      </w:r>
      <w:proofErr w:type="spellStart"/>
      <w:r w:rsidR="00792B7D">
        <w:rPr>
          <w:rFonts w:cstheme="minorHAnsi"/>
          <w:sz w:val="20"/>
          <w:szCs w:val="20"/>
          <w:lang w:val="en-GB" w:eastAsia="en-GB"/>
        </w:rPr>
        <w:t>Makadara</w:t>
      </w:r>
      <w:proofErr w:type="spellEnd"/>
      <w:r w:rsidR="002C772C" w:rsidRPr="00645AC2">
        <w:rPr>
          <w:rFonts w:cstheme="minorHAnsi"/>
          <w:sz w:val="20"/>
          <w:szCs w:val="20"/>
          <w:lang w:val="en-GB" w:eastAsia="en-GB"/>
        </w:rPr>
        <w:t xml:space="preserve"> </w:t>
      </w:r>
      <w:r w:rsidR="00792B7D">
        <w:rPr>
          <w:rFonts w:cstheme="minorHAnsi"/>
          <w:sz w:val="20"/>
          <w:szCs w:val="20"/>
          <w:lang w:val="en-GB" w:eastAsia="en-GB"/>
        </w:rPr>
        <w:t>Sub-County</w:t>
      </w:r>
      <w:r w:rsidRPr="00645AC2">
        <w:rPr>
          <w:rFonts w:cstheme="minorHAnsi"/>
          <w:sz w:val="20"/>
          <w:szCs w:val="20"/>
          <w:lang w:val="en-GB" w:eastAsia="en-GB"/>
        </w:rPr>
        <w:t xml:space="preserve">). </w:t>
      </w:r>
    </w:p>
    <w:p w14:paraId="5890D72B" w14:textId="4CD0B660" w:rsidR="00061730" w:rsidRDefault="00061730" w:rsidP="00061730">
      <w:pPr>
        <w:autoSpaceDE w:val="0"/>
        <w:autoSpaceDN w:val="0"/>
        <w:adjustRightInd w:val="0"/>
        <w:spacing w:before="60" w:after="60"/>
        <w:rPr>
          <w:rFonts w:cstheme="minorHAnsi"/>
          <w:i/>
          <w:sz w:val="20"/>
          <w:szCs w:val="20"/>
          <w:lang w:val="en-GB" w:eastAsia="en-GB"/>
        </w:rPr>
      </w:pPr>
      <w:r w:rsidRPr="00645AC2">
        <w:rPr>
          <w:rFonts w:cstheme="minorHAnsi"/>
          <w:i/>
          <w:sz w:val="20"/>
          <w:szCs w:val="20"/>
          <w:lang w:val="en-GB" w:eastAsia="en-GB"/>
        </w:rPr>
        <w:t>“The mothers are expected to report to the health facility by 8.00</w:t>
      </w:r>
      <w:r w:rsidR="00B81A52" w:rsidRPr="00645AC2">
        <w:rPr>
          <w:rFonts w:cstheme="minorHAnsi"/>
          <w:i/>
          <w:sz w:val="20"/>
          <w:szCs w:val="20"/>
          <w:lang w:val="en-GB" w:eastAsia="en-GB"/>
        </w:rPr>
        <w:t xml:space="preserve"> </w:t>
      </w:r>
      <w:r w:rsidRPr="00645AC2">
        <w:rPr>
          <w:rFonts w:cstheme="minorHAnsi"/>
          <w:i/>
          <w:sz w:val="20"/>
          <w:szCs w:val="20"/>
          <w:lang w:val="en-GB" w:eastAsia="en-GB"/>
        </w:rPr>
        <w:t>am but they begin to be served at 10.00</w:t>
      </w:r>
      <w:r w:rsidR="00B81A52" w:rsidRPr="00645AC2">
        <w:rPr>
          <w:rFonts w:cstheme="minorHAnsi"/>
          <w:i/>
          <w:sz w:val="20"/>
          <w:szCs w:val="20"/>
          <w:lang w:val="en-GB" w:eastAsia="en-GB"/>
        </w:rPr>
        <w:t xml:space="preserve"> </w:t>
      </w:r>
      <w:r w:rsidRPr="00645AC2">
        <w:rPr>
          <w:rFonts w:cstheme="minorHAnsi"/>
          <w:i/>
          <w:sz w:val="20"/>
          <w:szCs w:val="20"/>
          <w:lang w:val="en-GB" w:eastAsia="en-GB"/>
        </w:rPr>
        <w:t>am.</w:t>
      </w:r>
      <w:r w:rsidRPr="00645AC2">
        <w:t xml:space="preserve"> </w:t>
      </w:r>
      <w:r w:rsidRPr="00645AC2">
        <w:rPr>
          <w:rFonts w:cstheme="minorHAnsi"/>
          <w:i/>
          <w:sz w:val="20"/>
          <w:szCs w:val="20"/>
          <w:lang w:val="en-GB" w:eastAsia="en-GB"/>
        </w:rPr>
        <w:t xml:space="preserve">Yet any mothers arriving after 10.00 </w:t>
      </w:r>
      <w:r w:rsidR="00B81A52" w:rsidRPr="00645AC2">
        <w:rPr>
          <w:rFonts w:cstheme="minorHAnsi"/>
          <w:i/>
          <w:sz w:val="20"/>
          <w:szCs w:val="20"/>
          <w:lang w:val="en-GB" w:eastAsia="en-GB"/>
        </w:rPr>
        <w:t xml:space="preserve">am </w:t>
      </w:r>
      <w:r w:rsidRPr="00645AC2">
        <w:rPr>
          <w:rFonts w:cstheme="minorHAnsi"/>
          <w:i/>
          <w:sz w:val="20"/>
          <w:szCs w:val="20"/>
          <w:lang w:val="en-GB" w:eastAsia="en-GB"/>
        </w:rPr>
        <w:t>are not registered and attended to…</w:t>
      </w:r>
      <w:r w:rsidR="00F848A9" w:rsidRPr="00645AC2">
        <w:rPr>
          <w:rFonts w:cstheme="minorHAnsi"/>
          <w:i/>
          <w:sz w:val="20"/>
          <w:szCs w:val="20"/>
          <w:lang w:val="en-GB" w:eastAsia="en-GB"/>
        </w:rPr>
        <w:t>”</w:t>
      </w:r>
      <w:r w:rsidR="00F848A9" w:rsidRPr="00645AC2">
        <w:rPr>
          <w:rFonts w:cstheme="minorHAnsi"/>
          <w:sz w:val="20"/>
          <w:szCs w:val="20"/>
          <w:lang w:val="en-GB" w:eastAsia="en-GB"/>
        </w:rPr>
        <w:t xml:space="preserve"> Father, Health Centre </w:t>
      </w:r>
      <w:r w:rsidR="00792B7D">
        <w:rPr>
          <w:rFonts w:cstheme="minorHAnsi"/>
          <w:sz w:val="20"/>
          <w:szCs w:val="20"/>
          <w:lang w:val="en-GB" w:eastAsia="en-GB"/>
        </w:rPr>
        <w:t xml:space="preserve">in </w:t>
      </w:r>
      <w:proofErr w:type="spellStart"/>
      <w:r w:rsidR="00792B7D">
        <w:rPr>
          <w:rFonts w:cstheme="minorHAnsi"/>
          <w:sz w:val="20"/>
          <w:szCs w:val="20"/>
          <w:lang w:val="en-GB" w:eastAsia="en-GB"/>
        </w:rPr>
        <w:t>Kamukunji</w:t>
      </w:r>
      <w:proofErr w:type="spellEnd"/>
      <w:r w:rsidR="00792B7D">
        <w:rPr>
          <w:rFonts w:cstheme="minorHAnsi"/>
          <w:sz w:val="20"/>
          <w:szCs w:val="20"/>
          <w:lang w:val="en-GB" w:eastAsia="en-GB"/>
        </w:rPr>
        <w:t xml:space="preserve"> Sub-County </w:t>
      </w:r>
      <w:r w:rsidR="00F848A9" w:rsidRPr="00645AC2">
        <w:rPr>
          <w:rFonts w:cstheme="minorHAnsi"/>
          <w:sz w:val="20"/>
          <w:szCs w:val="20"/>
          <w:lang w:val="en-GB" w:eastAsia="en-GB"/>
        </w:rPr>
        <w:t xml:space="preserve">(He was with his 22 month child, with </w:t>
      </w:r>
      <w:r w:rsidR="00B81A52" w:rsidRPr="00645AC2">
        <w:rPr>
          <w:rFonts w:cstheme="minorHAnsi"/>
          <w:sz w:val="20"/>
          <w:szCs w:val="20"/>
          <w:lang w:val="en-GB" w:eastAsia="en-GB"/>
        </w:rPr>
        <w:t>severe acute malnutrition (</w:t>
      </w:r>
      <w:r w:rsidR="00F848A9" w:rsidRPr="00645AC2">
        <w:rPr>
          <w:rFonts w:cstheme="minorHAnsi"/>
          <w:sz w:val="20"/>
          <w:szCs w:val="20"/>
          <w:lang w:val="en-GB" w:eastAsia="en-GB"/>
        </w:rPr>
        <w:t>SAM</w:t>
      </w:r>
      <w:r w:rsidR="00B81A52" w:rsidRPr="00645AC2">
        <w:rPr>
          <w:rFonts w:cstheme="minorHAnsi"/>
          <w:sz w:val="20"/>
          <w:szCs w:val="20"/>
          <w:lang w:val="en-GB" w:eastAsia="en-GB"/>
        </w:rPr>
        <w:t>)</w:t>
      </w:r>
      <w:r w:rsidR="00F848A9" w:rsidRPr="00645AC2">
        <w:rPr>
          <w:rFonts w:cstheme="minorHAnsi"/>
          <w:sz w:val="20"/>
          <w:szCs w:val="20"/>
          <w:lang w:val="en-GB" w:eastAsia="en-GB"/>
        </w:rPr>
        <w:t>, had been waiting three hours</w:t>
      </w:r>
      <w:r w:rsidR="00B81A52" w:rsidRPr="00645AC2">
        <w:rPr>
          <w:rFonts w:cstheme="minorHAnsi"/>
          <w:sz w:val="20"/>
          <w:szCs w:val="20"/>
          <w:lang w:val="en-GB" w:eastAsia="en-GB"/>
        </w:rPr>
        <w:t>,</w:t>
      </w:r>
      <w:r w:rsidR="00F848A9" w:rsidRPr="00645AC2">
        <w:rPr>
          <w:rFonts w:cstheme="minorHAnsi"/>
          <w:sz w:val="20"/>
          <w:szCs w:val="20"/>
          <w:lang w:val="en-GB" w:eastAsia="en-GB"/>
        </w:rPr>
        <w:t xml:space="preserve"> and had</w:t>
      </w:r>
      <w:r w:rsidR="00F848A9">
        <w:rPr>
          <w:rFonts w:cstheme="minorHAnsi"/>
          <w:sz w:val="20"/>
          <w:szCs w:val="20"/>
          <w:lang w:val="en-GB" w:eastAsia="en-GB"/>
        </w:rPr>
        <w:t xml:space="preserve"> still not been attended to at the time of the interview).</w:t>
      </w:r>
    </w:p>
    <w:p w14:paraId="479B6290" w14:textId="02F43499" w:rsidR="00061730" w:rsidRDefault="00F848A9" w:rsidP="00061730">
      <w:pPr>
        <w:autoSpaceDE w:val="0"/>
        <w:autoSpaceDN w:val="0"/>
        <w:adjustRightInd w:val="0"/>
        <w:spacing w:before="60" w:after="60"/>
        <w:rPr>
          <w:rFonts w:cstheme="minorHAnsi"/>
          <w:sz w:val="20"/>
          <w:szCs w:val="20"/>
          <w:lang w:val="en-GB" w:eastAsia="en-GB"/>
        </w:rPr>
      </w:pPr>
      <w:r>
        <w:rPr>
          <w:rFonts w:cstheme="minorHAnsi"/>
          <w:sz w:val="20"/>
          <w:szCs w:val="20"/>
          <w:lang w:val="en-GB" w:eastAsia="en-GB"/>
        </w:rPr>
        <w:t xml:space="preserve">According to some health workers, the short MCH operating hours and the practice of turning caretakers away contributes to high defaulter rates. </w:t>
      </w:r>
      <w:r w:rsidRPr="0030661A">
        <w:rPr>
          <w:rFonts w:cstheme="minorHAnsi"/>
          <w:sz w:val="20"/>
          <w:szCs w:val="20"/>
          <w:lang w:val="en-GB" w:eastAsia="en-GB"/>
        </w:rPr>
        <w:t xml:space="preserve">When asked if extended hours would improve service utilisation, including opening the MCH clinic on Saturday mornings, many health workers and caretakers considered that this would be beneficial. As one mother indicated, </w:t>
      </w:r>
      <w:r w:rsidR="00061730" w:rsidRPr="00E8560E">
        <w:rPr>
          <w:rFonts w:cstheme="minorHAnsi"/>
          <w:i/>
          <w:sz w:val="20"/>
          <w:szCs w:val="20"/>
          <w:lang w:val="en-GB" w:eastAsia="en-GB"/>
        </w:rPr>
        <w:t>“</w:t>
      </w:r>
      <w:r w:rsidRPr="001E0E57">
        <w:rPr>
          <w:rFonts w:cstheme="minorHAnsi"/>
          <w:i/>
          <w:sz w:val="20"/>
          <w:szCs w:val="20"/>
          <w:lang w:val="en-GB" w:eastAsia="en-GB"/>
        </w:rPr>
        <w:t>t</w:t>
      </w:r>
      <w:r w:rsidR="00061730" w:rsidRPr="0030661A">
        <w:rPr>
          <w:rFonts w:cstheme="minorHAnsi"/>
          <w:i/>
          <w:sz w:val="20"/>
          <w:szCs w:val="20"/>
          <w:lang w:val="en-GB" w:eastAsia="en-GB"/>
        </w:rPr>
        <w:t>oday I had to take an unpaid day off from my place of work to bring baby to the baby well clinic. If they were open on Saturdays, I would have preferred to come then, but they are not open. And yet I need someone to advise me on how to int</w:t>
      </w:r>
      <w:r w:rsidR="00B81A52" w:rsidRPr="0030661A">
        <w:rPr>
          <w:rFonts w:cstheme="minorHAnsi"/>
          <w:i/>
          <w:sz w:val="20"/>
          <w:szCs w:val="20"/>
          <w:lang w:val="en-GB" w:eastAsia="en-GB"/>
        </w:rPr>
        <w:t xml:space="preserve">roduce other foods to the baby” </w:t>
      </w:r>
      <w:r w:rsidR="00B81A52" w:rsidRPr="0030661A">
        <w:rPr>
          <w:rFonts w:cstheme="minorHAnsi"/>
          <w:sz w:val="20"/>
          <w:szCs w:val="20"/>
          <w:lang w:val="en-GB" w:eastAsia="en-GB"/>
        </w:rPr>
        <w:t>(</w:t>
      </w:r>
      <w:r w:rsidR="00061730" w:rsidRPr="0030661A">
        <w:rPr>
          <w:rFonts w:cstheme="minorHAnsi"/>
          <w:sz w:val="20"/>
          <w:szCs w:val="20"/>
          <w:lang w:val="en-GB" w:eastAsia="en-GB"/>
        </w:rPr>
        <w:t>Mother</w:t>
      </w:r>
      <w:r w:rsidR="00061730">
        <w:rPr>
          <w:rFonts w:cstheme="minorHAnsi"/>
          <w:sz w:val="20"/>
          <w:szCs w:val="20"/>
          <w:lang w:val="en-GB" w:eastAsia="en-GB"/>
        </w:rPr>
        <w:t xml:space="preserve">, </w:t>
      </w:r>
      <w:r w:rsidR="00B81A52">
        <w:rPr>
          <w:rFonts w:cstheme="minorHAnsi"/>
          <w:sz w:val="20"/>
          <w:szCs w:val="20"/>
          <w:lang w:val="en-GB" w:eastAsia="en-GB"/>
        </w:rPr>
        <w:t>Health Centre</w:t>
      </w:r>
      <w:r w:rsidR="00792B7D">
        <w:rPr>
          <w:rFonts w:cstheme="minorHAnsi"/>
          <w:sz w:val="20"/>
          <w:szCs w:val="20"/>
          <w:lang w:val="en-GB" w:eastAsia="en-GB"/>
        </w:rPr>
        <w:t xml:space="preserve"> in </w:t>
      </w:r>
      <w:proofErr w:type="spellStart"/>
      <w:r w:rsidR="00792B7D">
        <w:rPr>
          <w:rFonts w:cstheme="minorHAnsi"/>
          <w:sz w:val="20"/>
          <w:szCs w:val="20"/>
          <w:lang w:val="en-GB" w:eastAsia="en-GB"/>
        </w:rPr>
        <w:t>Embakasi</w:t>
      </w:r>
      <w:proofErr w:type="spellEnd"/>
      <w:r w:rsidR="00792B7D">
        <w:rPr>
          <w:rFonts w:cstheme="minorHAnsi"/>
          <w:sz w:val="20"/>
          <w:szCs w:val="20"/>
          <w:lang w:val="en-GB" w:eastAsia="en-GB"/>
        </w:rPr>
        <w:t xml:space="preserve"> Sub-County</w:t>
      </w:r>
      <w:r w:rsidR="00B81A52">
        <w:rPr>
          <w:rFonts w:cstheme="minorHAnsi"/>
          <w:sz w:val="20"/>
          <w:szCs w:val="20"/>
          <w:lang w:val="en-GB" w:eastAsia="en-GB"/>
        </w:rPr>
        <w:t>)</w:t>
      </w:r>
      <w:r w:rsidR="00061730">
        <w:rPr>
          <w:rFonts w:cstheme="minorHAnsi"/>
          <w:sz w:val="20"/>
          <w:szCs w:val="20"/>
          <w:lang w:val="en-GB" w:eastAsia="en-GB"/>
        </w:rPr>
        <w:t xml:space="preserve">. </w:t>
      </w:r>
      <w:r>
        <w:rPr>
          <w:rFonts w:cstheme="minorHAnsi"/>
          <w:sz w:val="20"/>
          <w:szCs w:val="20"/>
          <w:lang w:val="en-GB" w:eastAsia="en-GB"/>
        </w:rPr>
        <w:t xml:space="preserve">This sentiment was expressed in many instances as most mothers attending the MCH clinic are working mothers. Other health workers did not feel that a change in opening hours would improve uptake. As noted by one health worker, </w:t>
      </w:r>
      <w:r w:rsidRPr="00B81A52">
        <w:rPr>
          <w:rFonts w:cstheme="minorHAnsi"/>
          <w:i/>
          <w:sz w:val="20"/>
          <w:szCs w:val="20"/>
          <w:lang w:val="en-GB" w:eastAsia="en-GB"/>
        </w:rPr>
        <w:t>“no, a change or increase in operating hours will not improve uptake. A change in people’s attitudes is what needs to change. A lot of mobilization and awareness creation on the importance of MCH services is what is required”</w:t>
      </w:r>
      <w:r w:rsidRPr="00F848A9">
        <w:rPr>
          <w:rFonts w:cstheme="minorHAnsi"/>
          <w:sz w:val="20"/>
          <w:szCs w:val="20"/>
          <w:lang w:val="en-GB" w:eastAsia="en-GB"/>
        </w:rPr>
        <w:t xml:space="preserve"> (Health Worker, Health Centre</w:t>
      </w:r>
      <w:r w:rsidR="00792B7D">
        <w:rPr>
          <w:rFonts w:cstheme="minorHAnsi"/>
          <w:sz w:val="20"/>
          <w:szCs w:val="20"/>
          <w:lang w:val="en-GB" w:eastAsia="en-GB"/>
        </w:rPr>
        <w:t xml:space="preserve"> in </w:t>
      </w:r>
      <w:proofErr w:type="spellStart"/>
      <w:r w:rsidR="00792B7D">
        <w:rPr>
          <w:rFonts w:cstheme="minorHAnsi"/>
          <w:sz w:val="20"/>
          <w:szCs w:val="20"/>
          <w:lang w:val="en-GB" w:eastAsia="en-GB"/>
        </w:rPr>
        <w:t>Kasarani</w:t>
      </w:r>
      <w:proofErr w:type="spellEnd"/>
      <w:r w:rsidR="00792B7D">
        <w:rPr>
          <w:rFonts w:cstheme="minorHAnsi"/>
          <w:sz w:val="20"/>
          <w:szCs w:val="20"/>
          <w:lang w:val="en-GB" w:eastAsia="en-GB"/>
        </w:rPr>
        <w:t xml:space="preserve"> Sub-County</w:t>
      </w:r>
      <w:r w:rsidRPr="00F848A9">
        <w:rPr>
          <w:rFonts w:cstheme="minorHAnsi"/>
          <w:sz w:val="20"/>
          <w:szCs w:val="20"/>
          <w:lang w:val="en-GB" w:eastAsia="en-GB"/>
        </w:rPr>
        <w:t>).</w:t>
      </w:r>
      <w:r>
        <w:rPr>
          <w:rFonts w:cstheme="minorHAnsi"/>
          <w:sz w:val="20"/>
          <w:szCs w:val="20"/>
          <w:lang w:val="en-GB" w:eastAsia="en-GB"/>
        </w:rPr>
        <w:t xml:space="preserve"> </w:t>
      </w:r>
      <w:r w:rsidR="00501793">
        <w:rPr>
          <w:rFonts w:cstheme="minorHAnsi"/>
          <w:sz w:val="20"/>
          <w:szCs w:val="20"/>
          <w:lang w:val="en-GB" w:eastAsia="en-GB"/>
        </w:rPr>
        <w:t xml:space="preserve">Some health workers cited the lack of staff for a rotation system as well as the need for a policy change as impediments to expanding service hours. </w:t>
      </w:r>
    </w:p>
    <w:p w14:paraId="2F211544" w14:textId="2E6F52B1" w:rsidR="00D83A6B" w:rsidRDefault="00EC7575" w:rsidP="00501793">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Waiting times</w:t>
      </w:r>
      <w:r w:rsidR="003A5BB0" w:rsidRPr="00183925">
        <w:rPr>
          <w:rFonts w:cstheme="minorHAnsi"/>
          <w:sz w:val="20"/>
          <w:szCs w:val="20"/>
          <w:u w:val="single"/>
          <w:lang w:val="en-GB" w:eastAsia="en-GB"/>
        </w:rPr>
        <w:t>:</w:t>
      </w:r>
      <w:r w:rsidR="00BC2FF4">
        <w:rPr>
          <w:rFonts w:cstheme="minorHAnsi"/>
          <w:sz w:val="20"/>
          <w:szCs w:val="20"/>
          <w:lang w:val="en-GB" w:eastAsia="en-GB"/>
        </w:rPr>
        <w:t xml:space="preserve"> </w:t>
      </w:r>
      <w:r w:rsidR="00501793">
        <w:rPr>
          <w:rFonts w:cstheme="minorHAnsi"/>
          <w:sz w:val="20"/>
          <w:szCs w:val="20"/>
          <w:lang w:val="en-GB" w:eastAsia="en-GB"/>
        </w:rPr>
        <w:t xml:space="preserve">As many MCH clinics operate in “bursts of energy” for just a few hours in the day, this </w:t>
      </w:r>
      <w:r w:rsidR="00BC2FF4">
        <w:rPr>
          <w:rFonts w:cstheme="minorHAnsi"/>
          <w:sz w:val="20"/>
          <w:szCs w:val="20"/>
          <w:lang w:val="en-GB" w:eastAsia="en-GB"/>
        </w:rPr>
        <w:t>pattern ensure</w:t>
      </w:r>
      <w:r w:rsidR="00501793">
        <w:rPr>
          <w:rFonts w:cstheme="minorHAnsi"/>
          <w:sz w:val="20"/>
          <w:szCs w:val="20"/>
          <w:lang w:val="en-GB" w:eastAsia="en-GB"/>
        </w:rPr>
        <w:t>s</w:t>
      </w:r>
      <w:r w:rsidR="00BC2FF4">
        <w:rPr>
          <w:rFonts w:cstheme="minorHAnsi"/>
          <w:sz w:val="20"/>
          <w:szCs w:val="20"/>
          <w:lang w:val="en-GB" w:eastAsia="en-GB"/>
        </w:rPr>
        <w:t xml:space="preserve"> </w:t>
      </w:r>
      <w:r w:rsidR="00B81A52">
        <w:rPr>
          <w:rFonts w:cstheme="minorHAnsi"/>
          <w:sz w:val="20"/>
          <w:szCs w:val="20"/>
          <w:lang w:val="en-GB" w:eastAsia="en-GB"/>
        </w:rPr>
        <w:t xml:space="preserve">lengthy queues and long waiting times before </w:t>
      </w:r>
      <w:r w:rsidR="00501793">
        <w:rPr>
          <w:rFonts w:cstheme="minorHAnsi"/>
          <w:sz w:val="20"/>
          <w:szCs w:val="20"/>
          <w:lang w:val="en-GB" w:eastAsia="en-GB"/>
        </w:rPr>
        <w:t>caretakers</w:t>
      </w:r>
      <w:r w:rsidR="00BC2FF4">
        <w:rPr>
          <w:rFonts w:cstheme="minorHAnsi"/>
          <w:sz w:val="20"/>
          <w:szCs w:val="20"/>
          <w:lang w:val="en-GB" w:eastAsia="en-GB"/>
        </w:rPr>
        <w:t xml:space="preserve"> </w:t>
      </w:r>
      <w:r w:rsidR="00B81A52">
        <w:rPr>
          <w:rFonts w:cstheme="minorHAnsi"/>
          <w:sz w:val="20"/>
          <w:szCs w:val="20"/>
          <w:lang w:val="en-GB" w:eastAsia="en-GB"/>
        </w:rPr>
        <w:t>and their children are</w:t>
      </w:r>
      <w:r w:rsidR="00BC2FF4">
        <w:rPr>
          <w:rFonts w:cstheme="minorHAnsi"/>
          <w:sz w:val="20"/>
          <w:szCs w:val="20"/>
          <w:lang w:val="en-GB" w:eastAsia="en-GB"/>
        </w:rPr>
        <w:t xml:space="preserve"> attended to. </w:t>
      </w:r>
      <w:r w:rsidR="00501793">
        <w:rPr>
          <w:rFonts w:cstheme="minorHAnsi"/>
          <w:sz w:val="20"/>
          <w:szCs w:val="20"/>
          <w:lang w:val="en-GB" w:eastAsia="en-GB"/>
        </w:rPr>
        <w:t xml:space="preserve">As noted, by one mother, </w:t>
      </w:r>
      <w:r w:rsidR="00FE4A0C" w:rsidRPr="00FE4A0C">
        <w:rPr>
          <w:i/>
          <w:sz w:val="20"/>
          <w:szCs w:val="20"/>
        </w:rPr>
        <w:t>“</w:t>
      </w:r>
      <w:r w:rsidR="00501793">
        <w:rPr>
          <w:i/>
          <w:sz w:val="20"/>
          <w:szCs w:val="20"/>
        </w:rPr>
        <w:t>i</w:t>
      </w:r>
      <w:r w:rsidR="00FE4A0C" w:rsidRPr="00FE4A0C">
        <w:rPr>
          <w:i/>
          <w:sz w:val="20"/>
          <w:szCs w:val="20"/>
        </w:rPr>
        <w:t>t’s on a first come, first served basis. Today I have been here since 8.30</w:t>
      </w:r>
      <w:r w:rsidR="00B81A52">
        <w:rPr>
          <w:i/>
          <w:sz w:val="20"/>
          <w:szCs w:val="20"/>
        </w:rPr>
        <w:t xml:space="preserve"> am</w:t>
      </w:r>
      <w:r w:rsidR="00FE4A0C" w:rsidRPr="00FE4A0C">
        <w:rPr>
          <w:i/>
          <w:sz w:val="20"/>
          <w:szCs w:val="20"/>
        </w:rPr>
        <w:t xml:space="preserve">. My baby has been weighed but </w:t>
      </w:r>
      <w:r w:rsidR="00B81A52">
        <w:rPr>
          <w:i/>
          <w:sz w:val="20"/>
          <w:szCs w:val="20"/>
        </w:rPr>
        <w:t xml:space="preserve">I </w:t>
      </w:r>
      <w:r w:rsidR="00FE4A0C" w:rsidRPr="00FE4A0C">
        <w:rPr>
          <w:i/>
          <w:sz w:val="20"/>
          <w:szCs w:val="20"/>
        </w:rPr>
        <w:t>am still waiting for the immunization”</w:t>
      </w:r>
      <w:r w:rsidR="00FE4A0C">
        <w:rPr>
          <w:sz w:val="20"/>
          <w:szCs w:val="20"/>
        </w:rPr>
        <w:t xml:space="preserve"> (</w:t>
      </w:r>
      <w:r w:rsidR="00FE4A0C" w:rsidRPr="00465275">
        <w:rPr>
          <w:sz w:val="20"/>
          <w:szCs w:val="20"/>
        </w:rPr>
        <w:t xml:space="preserve">Mother, </w:t>
      </w:r>
      <w:r w:rsidR="00465275" w:rsidRPr="00465275">
        <w:rPr>
          <w:sz w:val="20"/>
          <w:szCs w:val="20"/>
        </w:rPr>
        <w:t xml:space="preserve">Health Centre </w:t>
      </w:r>
      <w:r w:rsidR="00465275">
        <w:rPr>
          <w:sz w:val="20"/>
          <w:szCs w:val="20"/>
        </w:rPr>
        <w:t xml:space="preserve">in </w:t>
      </w:r>
      <w:proofErr w:type="spellStart"/>
      <w:r w:rsidR="00465275" w:rsidRPr="00465275">
        <w:rPr>
          <w:sz w:val="20"/>
          <w:szCs w:val="20"/>
        </w:rPr>
        <w:t>Makadara</w:t>
      </w:r>
      <w:proofErr w:type="spellEnd"/>
      <w:r w:rsidR="00465275" w:rsidRPr="00465275">
        <w:rPr>
          <w:sz w:val="20"/>
          <w:szCs w:val="20"/>
        </w:rPr>
        <w:t xml:space="preserve"> Sub-County</w:t>
      </w:r>
      <w:r w:rsidR="00FE4A0C" w:rsidRPr="00465275">
        <w:rPr>
          <w:sz w:val="20"/>
          <w:szCs w:val="20"/>
        </w:rPr>
        <w:t>). This</w:t>
      </w:r>
      <w:r w:rsidR="00FE4A0C">
        <w:rPr>
          <w:sz w:val="20"/>
          <w:szCs w:val="20"/>
        </w:rPr>
        <w:t xml:space="preserve"> statement was made at 12:23</w:t>
      </w:r>
      <w:r w:rsidR="00B81A52">
        <w:rPr>
          <w:sz w:val="20"/>
          <w:szCs w:val="20"/>
        </w:rPr>
        <w:t xml:space="preserve"> </w:t>
      </w:r>
      <w:proofErr w:type="gramStart"/>
      <w:r w:rsidR="00B81A52">
        <w:rPr>
          <w:sz w:val="20"/>
          <w:szCs w:val="20"/>
        </w:rPr>
        <w:t>pm</w:t>
      </w:r>
      <w:r w:rsidR="00FE4A0C">
        <w:rPr>
          <w:sz w:val="20"/>
          <w:szCs w:val="20"/>
        </w:rPr>
        <w:t>,</w:t>
      </w:r>
      <w:proofErr w:type="gramEnd"/>
      <w:r w:rsidR="00FE4A0C">
        <w:rPr>
          <w:sz w:val="20"/>
          <w:szCs w:val="20"/>
        </w:rPr>
        <w:t xml:space="preserve"> she had been </w:t>
      </w:r>
      <w:r w:rsidR="00501793">
        <w:rPr>
          <w:sz w:val="20"/>
          <w:szCs w:val="20"/>
        </w:rPr>
        <w:t xml:space="preserve">waiting </w:t>
      </w:r>
      <w:r w:rsidR="00FE4A0C">
        <w:rPr>
          <w:sz w:val="20"/>
          <w:szCs w:val="20"/>
        </w:rPr>
        <w:t>almost four hours at that point</w:t>
      </w:r>
      <w:r w:rsidR="00FE4A0C" w:rsidRPr="00465275">
        <w:rPr>
          <w:sz w:val="20"/>
          <w:szCs w:val="20"/>
        </w:rPr>
        <w:t xml:space="preserve">. </w:t>
      </w:r>
      <w:r w:rsidR="00501793" w:rsidRPr="00465275">
        <w:rPr>
          <w:sz w:val="20"/>
          <w:szCs w:val="20"/>
        </w:rPr>
        <w:t xml:space="preserve">In </w:t>
      </w:r>
      <w:r w:rsidR="00465275" w:rsidRPr="00465275">
        <w:rPr>
          <w:sz w:val="20"/>
          <w:szCs w:val="20"/>
        </w:rPr>
        <w:t>a FBO</w:t>
      </w:r>
      <w:r w:rsidR="00295A03" w:rsidRPr="00465275">
        <w:rPr>
          <w:rFonts w:cstheme="minorHAnsi"/>
          <w:sz w:val="20"/>
          <w:szCs w:val="20"/>
          <w:lang w:val="en-GB" w:eastAsia="en-GB"/>
        </w:rPr>
        <w:t xml:space="preserve"> </w:t>
      </w:r>
      <w:r w:rsidR="00B81A52" w:rsidRPr="00465275">
        <w:rPr>
          <w:rFonts w:cstheme="minorHAnsi"/>
          <w:sz w:val="20"/>
          <w:szCs w:val="20"/>
          <w:lang w:val="en-GB" w:eastAsia="en-GB"/>
        </w:rPr>
        <w:t xml:space="preserve">Health Centre, </w:t>
      </w:r>
      <w:r w:rsidR="00501793" w:rsidRPr="00465275">
        <w:rPr>
          <w:rFonts w:cstheme="minorHAnsi"/>
          <w:sz w:val="20"/>
          <w:szCs w:val="20"/>
          <w:lang w:val="en-GB" w:eastAsia="en-GB"/>
        </w:rPr>
        <w:t xml:space="preserve">the caretaker had been waiting five hours </w:t>
      </w:r>
      <w:r w:rsidR="00F43B8F" w:rsidRPr="00465275">
        <w:rPr>
          <w:rFonts w:cstheme="minorHAnsi"/>
          <w:sz w:val="20"/>
          <w:szCs w:val="20"/>
          <w:lang w:val="en-GB" w:eastAsia="en-GB"/>
        </w:rPr>
        <w:t xml:space="preserve">with </w:t>
      </w:r>
      <w:r w:rsidR="00501793" w:rsidRPr="00465275">
        <w:rPr>
          <w:rFonts w:cstheme="minorHAnsi"/>
          <w:sz w:val="20"/>
          <w:szCs w:val="20"/>
          <w:lang w:val="en-GB" w:eastAsia="en-GB"/>
        </w:rPr>
        <w:t xml:space="preserve">a </w:t>
      </w:r>
      <w:r w:rsidR="00F43B8F" w:rsidRPr="00465275">
        <w:rPr>
          <w:rFonts w:cstheme="minorHAnsi"/>
          <w:sz w:val="20"/>
          <w:szCs w:val="20"/>
          <w:lang w:val="en-GB" w:eastAsia="en-GB"/>
        </w:rPr>
        <w:t xml:space="preserve">child with a fever </w:t>
      </w:r>
      <w:r w:rsidR="00501793" w:rsidRPr="00465275">
        <w:rPr>
          <w:rFonts w:cstheme="minorHAnsi"/>
          <w:sz w:val="20"/>
          <w:szCs w:val="20"/>
          <w:lang w:val="en-GB" w:eastAsia="en-GB"/>
        </w:rPr>
        <w:t xml:space="preserve">to see the doctor </w:t>
      </w:r>
      <w:r w:rsidR="00295A03" w:rsidRPr="00465275">
        <w:rPr>
          <w:rFonts w:cstheme="minorHAnsi"/>
          <w:sz w:val="20"/>
          <w:szCs w:val="20"/>
          <w:lang w:val="en-GB" w:eastAsia="en-GB"/>
        </w:rPr>
        <w:t>and was still not attended</w:t>
      </w:r>
      <w:r w:rsidR="00B81A52" w:rsidRPr="00465275">
        <w:rPr>
          <w:rFonts w:cstheme="minorHAnsi"/>
          <w:sz w:val="20"/>
          <w:szCs w:val="20"/>
          <w:lang w:val="en-GB" w:eastAsia="en-GB"/>
        </w:rPr>
        <w:t xml:space="preserve"> at the time</w:t>
      </w:r>
      <w:r w:rsidR="00B81A52">
        <w:rPr>
          <w:rFonts w:cstheme="minorHAnsi"/>
          <w:sz w:val="20"/>
          <w:szCs w:val="20"/>
          <w:lang w:val="en-GB" w:eastAsia="en-GB"/>
        </w:rPr>
        <w:t xml:space="preserve"> of interview</w:t>
      </w:r>
      <w:r w:rsidR="00501793">
        <w:rPr>
          <w:rFonts w:cstheme="minorHAnsi"/>
          <w:sz w:val="20"/>
          <w:szCs w:val="20"/>
          <w:lang w:val="en-GB" w:eastAsia="en-GB"/>
        </w:rPr>
        <w:t xml:space="preserve"> while in </w:t>
      </w:r>
      <w:r w:rsidR="00465275">
        <w:rPr>
          <w:rFonts w:cstheme="minorHAnsi"/>
          <w:sz w:val="20"/>
          <w:szCs w:val="20"/>
          <w:lang w:val="en-GB" w:eastAsia="en-GB"/>
        </w:rPr>
        <w:t xml:space="preserve">a Health Centre in </w:t>
      </w:r>
      <w:proofErr w:type="spellStart"/>
      <w:r w:rsidR="00465275">
        <w:rPr>
          <w:rFonts w:cstheme="minorHAnsi"/>
          <w:sz w:val="20"/>
          <w:szCs w:val="20"/>
          <w:lang w:val="en-GB" w:eastAsia="en-GB"/>
        </w:rPr>
        <w:t>Embakasi</w:t>
      </w:r>
      <w:proofErr w:type="spellEnd"/>
      <w:r w:rsidR="00465275">
        <w:rPr>
          <w:rFonts w:cstheme="minorHAnsi"/>
          <w:sz w:val="20"/>
          <w:szCs w:val="20"/>
          <w:lang w:val="en-GB" w:eastAsia="en-GB"/>
        </w:rPr>
        <w:t xml:space="preserve"> Sub-</w:t>
      </w:r>
      <w:proofErr w:type="gramStart"/>
      <w:r w:rsidR="00465275">
        <w:rPr>
          <w:rFonts w:cstheme="minorHAnsi"/>
          <w:sz w:val="20"/>
          <w:szCs w:val="20"/>
          <w:lang w:val="en-GB" w:eastAsia="en-GB"/>
        </w:rPr>
        <w:t>County</w:t>
      </w:r>
      <w:r w:rsidR="00501793">
        <w:rPr>
          <w:rFonts w:cstheme="minorHAnsi"/>
          <w:sz w:val="20"/>
          <w:szCs w:val="20"/>
          <w:lang w:val="en-GB" w:eastAsia="en-GB"/>
        </w:rPr>
        <w:t>,</w:t>
      </w:r>
      <w:proofErr w:type="gramEnd"/>
      <w:r w:rsidR="00501793">
        <w:rPr>
          <w:rFonts w:cstheme="minorHAnsi"/>
          <w:sz w:val="20"/>
          <w:szCs w:val="20"/>
          <w:lang w:val="en-GB" w:eastAsia="en-GB"/>
        </w:rPr>
        <w:t xml:space="preserve"> the caretaker interviewed had also been </w:t>
      </w:r>
      <w:r w:rsidR="00D83A6B">
        <w:rPr>
          <w:rFonts w:cstheme="minorHAnsi"/>
          <w:sz w:val="20"/>
          <w:szCs w:val="20"/>
          <w:lang w:val="en-GB" w:eastAsia="en-GB"/>
        </w:rPr>
        <w:t>wait</w:t>
      </w:r>
      <w:r w:rsidR="00501793">
        <w:rPr>
          <w:rFonts w:cstheme="minorHAnsi"/>
          <w:sz w:val="20"/>
          <w:szCs w:val="20"/>
          <w:lang w:val="en-GB" w:eastAsia="en-GB"/>
        </w:rPr>
        <w:t>ing five</w:t>
      </w:r>
      <w:r w:rsidR="00D83A6B">
        <w:rPr>
          <w:rFonts w:cstheme="minorHAnsi"/>
          <w:sz w:val="20"/>
          <w:szCs w:val="20"/>
          <w:lang w:val="en-GB" w:eastAsia="en-GB"/>
        </w:rPr>
        <w:t xml:space="preserve"> hours. </w:t>
      </w:r>
      <w:r w:rsidR="00501793">
        <w:rPr>
          <w:rFonts w:cstheme="minorHAnsi"/>
          <w:sz w:val="20"/>
          <w:szCs w:val="20"/>
          <w:lang w:val="en-GB" w:eastAsia="en-GB"/>
        </w:rPr>
        <w:t>She indicated that she o</w:t>
      </w:r>
      <w:r w:rsidR="00D83A6B">
        <w:rPr>
          <w:rFonts w:cstheme="minorHAnsi"/>
          <w:sz w:val="20"/>
          <w:szCs w:val="20"/>
          <w:lang w:val="en-GB" w:eastAsia="en-GB"/>
        </w:rPr>
        <w:t xml:space="preserve">ften comes at 6 am as the queue is very long. </w:t>
      </w:r>
      <w:r w:rsidR="00501793">
        <w:rPr>
          <w:rFonts w:cstheme="minorHAnsi"/>
          <w:sz w:val="20"/>
          <w:szCs w:val="20"/>
          <w:lang w:val="en-GB" w:eastAsia="en-GB"/>
        </w:rPr>
        <w:t>Other facilities had shorter waiting periods however in al</w:t>
      </w:r>
      <w:r w:rsidR="00B81A52">
        <w:rPr>
          <w:rFonts w:cstheme="minorHAnsi"/>
          <w:sz w:val="20"/>
          <w:szCs w:val="20"/>
          <w:lang w:val="en-GB" w:eastAsia="en-GB"/>
        </w:rPr>
        <w:t>most al</w:t>
      </w:r>
      <w:r w:rsidR="00501793">
        <w:rPr>
          <w:rFonts w:cstheme="minorHAnsi"/>
          <w:sz w:val="20"/>
          <w:szCs w:val="20"/>
          <w:lang w:val="en-GB" w:eastAsia="en-GB"/>
        </w:rPr>
        <w:t xml:space="preserve">l facilities, </w:t>
      </w:r>
      <w:r w:rsidR="00B81A52">
        <w:rPr>
          <w:rFonts w:cstheme="minorHAnsi"/>
          <w:sz w:val="20"/>
          <w:szCs w:val="20"/>
          <w:lang w:val="en-GB" w:eastAsia="en-GB"/>
        </w:rPr>
        <w:t xml:space="preserve">long </w:t>
      </w:r>
      <w:r w:rsidR="00501793">
        <w:rPr>
          <w:rFonts w:cstheme="minorHAnsi"/>
          <w:sz w:val="20"/>
          <w:szCs w:val="20"/>
          <w:lang w:val="en-GB" w:eastAsia="en-GB"/>
        </w:rPr>
        <w:t xml:space="preserve">queues </w:t>
      </w:r>
      <w:r w:rsidR="00B81A52">
        <w:rPr>
          <w:rFonts w:cstheme="minorHAnsi"/>
          <w:sz w:val="20"/>
          <w:szCs w:val="20"/>
          <w:lang w:val="en-GB" w:eastAsia="en-GB"/>
        </w:rPr>
        <w:t>are the norm</w:t>
      </w:r>
      <w:r w:rsidR="00501793">
        <w:rPr>
          <w:rFonts w:cstheme="minorHAnsi"/>
          <w:sz w:val="20"/>
          <w:szCs w:val="20"/>
          <w:lang w:val="en-GB" w:eastAsia="en-GB"/>
        </w:rPr>
        <w:t>. If a child requires multiple services, there is a separate queue for each service</w:t>
      </w:r>
      <w:r w:rsidR="002727F2">
        <w:rPr>
          <w:rFonts w:cstheme="minorHAnsi"/>
          <w:sz w:val="20"/>
          <w:szCs w:val="20"/>
          <w:lang w:val="en-GB" w:eastAsia="en-GB"/>
        </w:rPr>
        <w:t xml:space="preserve"> </w:t>
      </w:r>
      <w:r w:rsidR="00B81A52">
        <w:rPr>
          <w:rFonts w:cstheme="minorHAnsi"/>
          <w:sz w:val="20"/>
          <w:szCs w:val="20"/>
          <w:lang w:val="en-GB" w:eastAsia="en-GB"/>
        </w:rPr>
        <w:t>compounding the waiting time</w:t>
      </w:r>
      <w:r w:rsidR="00501793">
        <w:rPr>
          <w:rFonts w:cstheme="minorHAnsi"/>
          <w:sz w:val="20"/>
          <w:szCs w:val="20"/>
          <w:lang w:val="en-GB" w:eastAsia="en-GB"/>
        </w:rPr>
        <w:t>.</w:t>
      </w:r>
      <w:r w:rsidR="006E359A">
        <w:rPr>
          <w:rFonts w:cstheme="minorHAnsi"/>
          <w:sz w:val="20"/>
          <w:szCs w:val="20"/>
          <w:lang w:val="en-GB" w:eastAsia="en-GB"/>
        </w:rPr>
        <w:t xml:space="preserve"> </w:t>
      </w:r>
    </w:p>
    <w:p w14:paraId="23399B36" w14:textId="77777777" w:rsidR="008F4029" w:rsidRDefault="00EC7575" w:rsidP="006F6424">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Motivation of staff</w:t>
      </w:r>
      <w:r w:rsidR="003A5BB0" w:rsidRPr="00183925">
        <w:rPr>
          <w:rFonts w:cstheme="minorHAnsi"/>
          <w:sz w:val="20"/>
          <w:szCs w:val="20"/>
          <w:lang w:val="en-GB" w:eastAsia="en-GB"/>
        </w:rPr>
        <w:t xml:space="preserve">: </w:t>
      </w:r>
      <w:r w:rsidR="00BD0226" w:rsidRPr="00183925">
        <w:rPr>
          <w:rFonts w:cstheme="minorHAnsi"/>
          <w:sz w:val="20"/>
          <w:szCs w:val="20"/>
          <w:lang w:val="en-GB" w:eastAsia="en-GB"/>
        </w:rPr>
        <w:t xml:space="preserve">Some </w:t>
      </w:r>
      <w:r w:rsidR="00501793">
        <w:rPr>
          <w:rFonts w:cstheme="minorHAnsi"/>
          <w:sz w:val="20"/>
          <w:szCs w:val="20"/>
          <w:lang w:val="en-GB" w:eastAsia="en-GB"/>
        </w:rPr>
        <w:t>health workers were</w:t>
      </w:r>
      <w:r w:rsidR="00BD0226" w:rsidRPr="00183925">
        <w:rPr>
          <w:rFonts w:cstheme="minorHAnsi"/>
          <w:sz w:val="20"/>
          <w:szCs w:val="20"/>
          <w:lang w:val="en-GB" w:eastAsia="en-GB"/>
        </w:rPr>
        <w:t xml:space="preserve"> visibly motivated, passionate even, in </w:t>
      </w:r>
      <w:proofErr w:type="spellStart"/>
      <w:r w:rsidR="00BD0226" w:rsidRPr="00183925">
        <w:rPr>
          <w:rFonts w:cstheme="minorHAnsi"/>
          <w:sz w:val="20"/>
          <w:szCs w:val="20"/>
          <w:lang w:val="en-GB" w:eastAsia="en-GB"/>
        </w:rPr>
        <w:t>counseling</w:t>
      </w:r>
      <w:proofErr w:type="spellEnd"/>
      <w:r w:rsidR="00BD0226" w:rsidRPr="00183925">
        <w:rPr>
          <w:rFonts w:cstheme="minorHAnsi"/>
          <w:sz w:val="20"/>
          <w:szCs w:val="20"/>
          <w:lang w:val="en-GB" w:eastAsia="en-GB"/>
        </w:rPr>
        <w:t xml:space="preserve"> mothers on nutrition</w:t>
      </w:r>
      <w:r w:rsidR="006F6424">
        <w:rPr>
          <w:rFonts w:cstheme="minorHAnsi"/>
          <w:sz w:val="20"/>
          <w:szCs w:val="20"/>
          <w:lang w:val="en-GB" w:eastAsia="en-GB"/>
        </w:rPr>
        <w:t xml:space="preserve"> </w:t>
      </w:r>
      <w:r w:rsidR="00BD0226" w:rsidRPr="00183925">
        <w:rPr>
          <w:rFonts w:cstheme="minorHAnsi"/>
          <w:sz w:val="20"/>
          <w:szCs w:val="20"/>
          <w:lang w:val="en-GB" w:eastAsia="en-GB"/>
        </w:rPr>
        <w:t>issues, in particular exclusive breast feeding and complementary feeding.</w:t>
      </w:r>
      <w:r w:rsidR="00501793">
        <w:rPr>
          <w:rFonts w:cstheme="minorHAnsi"/>
          <w:sz w:val="20"/>
          <w:szCs w:val="20"/>
          <w:lang w:val="en-GB" w:eastAsia="en-GB"/>
        </w:rPr>
        <w:t xml:space="preserve"> This was expressed by multiple health workers in many of the sites visited. The presence of motivated staff was one reason that woman chose one health </w:t>
      </w:r>
      <w:r w:rsidR="00501793" w:rsidRPr="006E2801">
        <w:rPr>
          <w:rFonts w:cstheme="minorHAnsi"/>
          <w:sz w:val="20"/>
          <w:szCs w:val="20"/>
          <w:lang w:val="en-GB" w:eastAsia="en-GB"/>
        </w:rPr>
        <w:t xml:space="preserve">facility over another.  As one mother explained at </w:t>
      </w:r>
      <w:proofErr w:type="spellStart"/>
      <w:r w:rsidR="00501793" w:rsidRPr="006E2801">
        <w:rPr>
          <w:rFonts w:cstheme="minorHAnsi"/>
          <w:sz w:val="20"/>
          <w:szCs w:val="20"/>
          <w:lang w:val="en-GB" w:eastAsia="en-GB"/>
        </w:rPr>
        <w:t>Huruma</w:t>
      </w:r>
      <w:proofErr w:type="spellEnd"/>
      <w:r w:rsidR="00501793" w:rsidRPr="006E2801">
        <w:rPr>
          <w:rFonts w:cstheme="minorHAnsi"/>
          <w:sz w:val="20"/>
          <w:szCs w:val="20"/>
          <w:lang w:val="en-GB" w:eastAsia="en-GB"/>
        </w:rPr>
        <w:t xml:space="preserve"> Lions Health Centre, </w:t>
      </w:r>
      <w:r w:rsidR="006F6424" w:rsidRPr="006E2801">
        <w:rPr>
          <w:rFonts w:cstheme="minorHAnsi"/>
          <w:sz w:val="20"/>
          <w:szCs w:val="20"/>
          <w:lang w:val="en-GB" w:eastAsia="en-GB"/>
        </w:rPr>
        <w:t>she</w:t>
      </w:r>
      <w:r w:rsidR="00501793" w:rsidRPr="006E2801">
        <w:rPr>
          <w:rFonts w:cstheme="minorHAnsi"/>
          <w:sz w:val="20"/>
          <w:szCs w:val="20"/>
          <w:lang w:val="en-GB" w:eastAsia="en-GB"/>
        </w:rPr>
        <w:t xml:space="preserve"> loves the facility because it is clean, offers good services and the </w:t>
      </w:r>
      <w:proofErr w:type="gramStart"/>
      <w:r w:rsidR="00501793" w:rsidRPr="006E2801">
        <w:rPr>
          <w:rFonts w:cstheme="minorHAnsi"/>
          <w:sz w:val="20"/>
          <w:szCs w:val="20"/>
          <w:lang w:val="en-GB" w:eastAsia="en-GB"/>
        </w:rPr>
        <w:t>staff</w:t>
      </w:r>
      <w:proofErr w:type="gramEnd"/>
      <w:r w:rsidR="00501793" w:rsidRPr="006E2801">
        <w:rPr>
          <w:rFonts w:cstheme="minorHAnsi"/>
          <w:sz w:val="20"/>
          <w:szCs w:val="20"/>
          <w:lang w:val="en-GB" w:eastAsia="en-GB"/>
        </w:rPr>
        <w:t xml:space="preserve"> handles the patients with care.</w:t>
      </w:r>
      <w:r w:rsidR="00777E52" w:rsidRPr="006E2801">
        <w:t xml:space="preserve"> </w:t>
      </w:r>
      <w:r w:rsidR="006F6424" w:rsidRPr="006E2801">
        <w:t xml:space="preserve"> </w:t>
      </w:r>
      <w:proofErr w:type="gramStart"/>
      <w:r w:rsidR="006F6424" w:rsidRPr="006E2801">
        <w:rPr>
          <w:sz w:val="20"/>
          <w:szCs w:val="20"/>
        </w:rPr>
        <w:t>Another women</w:t>
      </w:r>
      <w:proofErr w:type="gramEnd"/>
      <w:r w:rsidR="006F6424" w:rsidRPr="006E2801">
        <w:rPr>
          <w:sz w:val="20"/>
          <w:szCs w:val="20"/>
        </w:rPr>
        <w:t xml:space="preserve"> praised the nutritionist at the </w:t>
      </w:r>
      <w:proofErr w:type="spellStart"/>
      <w:r w:rsidR="006F6424" w:rsidRPr="006E2801">
        <w:rPr>
          <w:rFonts w:cstheme="minorHAnsi"/>
          <w:sz w:val="20"/>
          <w:szCs w:val="20"/>
          <w:lang w:val="en-GB" w:eastAsia="en-GB"/>
        </w:rPr>
        <w:t>Kayole</w:t>
      </w:r>
      <w:proofErr w:type="spellEnd"/>
      <w:r w:rsidR="006F6424" w:rsidRPr="006E2801">
        <w:rPr>
          <w:rFonts w:cstheme="minorHAnsi"/>
          <w:sz w:val="20"/>
          <w:szCs w:val="20"/>
          <w:lang w:val="en-GB" w:eastAsia="en-GB"/>
        </w:rPr>
        <w:t xml:space="preserve"> 2 Health Centre, noting that </w:t>
      </w:r>
      <w:r w:rsidR="006F6424" w:rsidRPr="006E2801">
        <w:rPr>
          <w:rFonts w:cstheme="minorHAnsi"/>
          <w:i/>
          <w:sz w:val="20"/>
          <w:szCs w:val="20"/>
          <w:lang w:val="en-GB" w:eastAsia="en-GB"/>
        </w:rPr>
        <w:t>“the day I miss the lady, I’m sincerely hurt”</w:t>
      </w:r>
      <w:r w:rsidR="006F6424" w:rsidRPr="006E2801">
        <w:rPr>
          <w:rFonts w:cstheme="minorHAnsi"/>
          <w:sz w:val="20"/>
          <w:szCs w:val="20"/>
          <w:lang w:val="en-GB" w:eastAsia="en-GB"/>
        </w:rPr>
        <w:t xml:space="preserve">. She further noted that only a few </w:t>
      </w:r>
      <w:r w:rsidR="00777E52" w:rsidRPr="006E2801">
        <w:rPr>
          <w:rFonts w:cstheme="minorHAnsi"/>
          <w:sz w:val="20"/>
          <w:szCs w:val="20"/>
          <w:lang w:val="en-GB" w:eastAsia="en-GB"/>
        </w:rPr>
        <w:t>health workers offer good service</w:t>
      </w:r>
      <w:r w:rsidR="006F6424" w:rsidRPr="006E2801">
        <w:rPr>
          <w:rFonts w:cstheme="minorHAnsi"/>
          <w:sz w:val="20"/>
          <w:szCs w:val="20"/>
          <w:lang w:val="en-GB" w:eastAsia="en-GB"/>
        </w:rPr>
        <w:t xml:space="preserve"> and some</w:t>
      </w:r>
      <w:r w:rsidR="006F6424">
        <w:rPr>
          <w:rFonts w:cstheme="minorHAnsi"/>
          <w:sz w:val="20"/>
          <w:szCs w:val="20"/>
          <w:lang w:val="en-GB" w:eastAsia="en-GB"/>
        </w:rPr>
        <w:t xml:space="preserve"> are abusive sending women to the end of the queue if they miss their name being called out</w:t>
      </w:r>
      <w:r w:rsidR="006F6424">
        <w:rPr>
          <w:rStyle w:val="FootnoteReference"/>
          <w:rFonts w:cstheme="minorHAnsi"/>
          <w:sz w:val="20"/>
          <w:szCs w:val="20"/>
          <w:lang w:val="en-GB" w:eastAsia="en-GB"/>
        </w:rPr>
        <w:footnoteReference w:id="5"/>
      </w:r>
      <w:r w:rsidR="006F6424">
        <w:rPr>
          <w:rFonts w:cstheme="minorHAnsi"/>
          <w:sz w:val="20"/>
          <w:szCs w:val="20"/>
          <w:lang w:val="en-GB" w:eastAsia="en-GB"/>
        </w:rPr>
        <w:t>.</w:t>
      </w:r>
      <w:r w:rsidR="008F4029">
        <w:rPr>
          <w:rFonts w:cstheme="minorHAnsi"/>
          <w:sz w:val="20"/>
          <w:szCs w:val="20"/>
          <w:lang w:val="en-GB" w:eastAsia="en-GB"/>
        </w:rPr>
        <w:t xml:space="preserve">  </w:t>
      </w:r>
    </w:p>
    <w:p w14:paraId="7404215C" w14:textId="50C51B25" w:rsidR="008F4029" w:rsidRDefault="008F4029" w:rsidP="006F6424">
      <w:pPr>
        <w:autoSpaceDE w:val="0"/>
        <w:autoSpaceDN w:val="0"/>
        <w:adjustRightInd w:val="0"/>
        <w:spacing w:before="120"/>
        <w:rPr>
          <w:rFonts w:cstheme="minorHAnsi"/>
          <w:sz w:val="20"/>
          <w:szCs w:val="20"/>
          <w:lang w:val="en-GB" w:eastAsia="en-GB"/>
        </w:rPr>
      </w:pPr>
      <w:r>
        <w:rPr>
          <w:rFonts w:cstheme="minorHAnsi"/>
          <w:sz w:val="20"/>
          <w:szCs w:val="20"/>
          <w:lang w:val="en-GB" w:eastAsia="en-GB"/>
        </w:rPr>
        <w:lastRenderedPageBreak/>
        <w:t xml:space="preserve">In many instances it was also reported that </w:t>
      </w:r>
      <w:r w:rsidR="00B81A52">
        <w:rPr>
          <w:rFonts w:cstheme="minorHAnsi"/>
          <w:sz w:val="20"/>
          <w:szCs w:val="20"/>
          <w:lang w:val="en-GB" w:eastAsia="en-GB"/>
        </w:rPr>
        <w:t>C</w:t>
      </w:r>
      <w:r>
        <w:rPr>
          <w:rFonts w:cstheme="minorHAnsi"/>
          <w:sz w:val="20"/>
          <w:szCs w:val="20"/>
          <w:lang w:val="en-GB" w:eastAsia="en-GB"/>
        </w:rPr>
        <w:t xml:space="preserve">ommunity </w:t>
      </w:r>
      <w:r w:rsidR="00B81A52">
        <w:rPr>
          <w:rFonts w:cstheme="minorHAnsi"/>
          <w:sz w:val="20"/>
          <w:szCs w:val="20"/>
          <w:lang w:val="en-GB" w:eastAsia="en-GB"/>
        </w:rPr>
        <w:t>H</w:t>
      </w:r>
      <w:r>
        <w:rPr>
          <w:rFonts w:cstheme="minorHAnsi"/>
          <w:sz w:val="20"/>
          <w:szCs w:val="20"/>
          <w:lang w:val="en-GB" w:eastAsia="en-GB"/>
        </w:rPr>
        <w:t xml:space="preserve">ealth </w:t>
      </w:r>
      <w:r w:rsidR="00B81A52">
        <w:rPr>
          <w:rFonts w:cstheme="minorHAnsi"/>
          <w:sz w:val="20"/>
          <w:szCs w:val="20"/>
          <w:lang w:val="en-GB" w:eastAsia="en-GB"/>
        </w:rPr>
        <w:t>V</w:t>
      </w:r>
      <w:r>
        <w:rPr>
          <w:rFonts w:cstheme="minorHAnsi"/>
          <w:sz w:val="20"/>
          <w:szCs w:val="20"/>
          <w:lang w:val="en-GB" w:eastAsia="en-GB"/>
        </w:rPr>
        <w:t>olunteers</w:t>
      </w:r>
      <w:r w:rsidRPr="008F4029">
        <w:rPr>
          <w:rFonts w:cstheme="minorHAnsi"/>
          <w:sz w:val="20"/>
          <w:szCs w:val="20"/>
          <w:lang w:val="en-GB" w:eastAsia="en-GB"/>
        </w:rPr>
        <w:t xml:space="preserve"> </w:t>
      </w:r>
      <w:r>
        <w:rPr>
          <w:rFonts w:cstheme="minorHAnsi"/>
          <w:sz w:val="20"/>
          <w:szCs w:val="20"/>
          <w:lang w:val="en-GB" w:eastAsia="en-GB"/>
        </w:rPr>
        <w:t>(</w:t>
      </w:r>
      <w:r w:rsidRPr="008F4029">
        <w:rPr>
          <w:rFonts w:cstheme="minorHAnsi"/>
          <w:sz w:val="20"/>
          <w:szCs w:val="20"/>
          <w:lang w:val="en-GB" w:eastAsia="en-GB"/>
        </w:rPr>
        <w:t>CHVs</w:t>
      </w:r>
      <w:r>
        <w:rPr>
          <w:rFonts w:cstheme="minorHAnsi"/>
          <w:sz w:val="20"/>
          <w:szCs w:val="20"/>
          <w:lang w:val="en-GB" w:eastAsia="en-GB"/>
        </w:rPr>
        <w:t>) were also not motivated.</w:t>
      </w:r>
      <w:r w:rsidRPr="008F4029">
        <w:rPr>
          <w:rFonts w:cstheme="minorHAnsi"/>
          <w:sz w:val="20"/>
          <w:szCs w:val="20"/>
          <w:lang w:val="en-GB" w:eastAsia="en-GB"/>
        </w:rPr>
        <w:t xml:space="preserve"> This</w:t>
      </w:r>
      <w:r>
        <w:rPr>
          <w:rFonts w:cstheme="minorHAnsi"/>
          <w:sz w:val="20"/>
          <w:szCs w:val="20"/>
          <w:lang w:val="en-GB" w:eastAsia="en-GB"/>
        </w:rPr>
        <w:t xml:space="preserve"> </w:t>
      </w:r>
      <w:r w:rsidRPr="008F4029">
        <w:rPr>
          <w:rFonts w:cstheme="minorHAnsi"/>
          <w:sz w:val="20"/>
          <w:szCs w:val="20"/>
          <w:lang w:val="en-GB" w:eastAsia="en-GB"/>
        </w:rPr>
        <w:t xml:space="preserve">does not diminish the fact that, at facility level, the contribution of CHVs and </w:t>
      </w:r>
      <w:r w:rsidR="00B81A52">
        <w:rPr>
          <w:rFonts w:cstheme="minorHAnsi"/>
          <w:sz w:val="20"/>
          <w:szCs w:val="20"/>
          <w:lang w:val="en-GB" w:eastAsia="en-GB"/>
        </w:rPr>
        <w:t>Community Health Extension Workers (</w:t>
      </w:r>
      <w:r w:rsidRPr="008F4029">
        <w:rPr>
          <w:rFonts w:cstheme="minorHAnsi"/>
          <w:sz w:val="20"/>
          <w:szCs w:val="20"/>
          <w:lang w:val="en-GB" w:eastAsia="en-GB"/>
        </w:rPr>
        <w:t>CHEWs</w:t>
      </w:r>
      <w:r w:rsidR="00B81A52">
        <w:rPr>
          <w:rFonts w:cstheme="minorHAnsi"/>
          <w:sz w:val="20"/>
          <w:szCs w:val="20"/>
          <w:lang w:val="en-GB" w:eastAsia="en-GB"/>
        </w:rPr>
        <w:t>)</w:t>
      </w:r>
      <w:r w:rsidRPr="008F4029">
        <w:rPr>
          <w:rFonts w:cstheme="minorHAnsi"/>
          <w:sz w:val="20"/>
          <w:szCs w:val="20"/>
          <w:lang w:val="en-GB" w:eastAsia="en-GB"/>
        </w:rPr>
        <w:t xml:space="preserve"> to the provision of MCH – and </w:t>
      </w:r>
      <w:r w:rsidR="002C772C">
        <w:rPr>
          <w:rFonts w:cstheme="minorHAnsi"/>
          <w:sz w:val="20"/>
          <w:szCs w:val="20"/>
          <w:lang w:val="en-GB" w:eastAsia="en-GB"/>
        </w:rPr>
        <w:t>nutrition</w:t>
      </w:r>
      <w:r w:rsidR="002C772C" w:rsidRPr="008F4029">
        <w:rPr>
          <w:rFonts w:cstheme="minorHAnsi"/>
          <w:sz w:val="20"/>
          <w:szCs w:val="20"/>
          <w:lang w:val="en-GB" w:eastAsia="en-GB"/>
        </w:rPr>
        <w:t xml:space="preserve"> </w:t>
      </w:r>
      <w:r w:rsidRPr="008F4029">
        <w:rPr>
          <w:rFonts w:cstheme="minorHAnsi"/>
          <w:sz w:val="20"/>
          <w:szCs w:val="20"/>
          <w:lang w:val="en-GB" w:eastAsia="en-GB"/>
        </w:rPr>
        <w:t>services – was very visible and commendable</w:t>
      </w:r>
      <w:r>
        <w:rPr>
          <w:rFonts w:cstheme="minorHAnsi"/>
          <w:sz w:val="20"/>
          <w:szCs w:val="20"/>
          <w:lang w:val="en-GB" w:eastAsia="en-GB"/>
        </w:rPr>
        <w:t>, and, i</w:t>
      </w:r>
      <w:r w:rsidRPr="008F4029">
        <w:rPr>
          <w:rFonts w:cstheme="minorHAnsi"/>
          <w:sz w:val="20"/>
          <w:szCs w:val="20"/>
          <w:lang w:val="en-GB" w:eastAsia="en-GB"/>
        </w:rPr>
        <w:t xml:space="preserve">n some instances, the </w:t>
      </w:r>
      <w:r w:rsidR="002C772C">
        <w:rPr>
          <w:rFonts w:cstheme="minorHAnsi"/>
          <w:sz w:val="20"/>
          <w:szCs w:val="20"/>
          <w:lang w:val="en-GB" w:eastAsia="en-GB"/>
        </w:rPr>
        <w:t>nutrition</w:t>
      </w:r>
      <w:r w:rsidR="002C772C" w:rsidRPr="008F4029">
        <w:rPr>
          <w:rFonts w:cstheme="minorHAnsi"/>
          <w:sz w:val="20"/>
          <w:szCs w:val="20"/>
          <w:lang w:val="en-GB" w:eastAsia="en-GB"/>
        </w:rPr>
        <w:t xml:space="preserve"> </w:t>
      </w:r>
      <w:r w:rsidRPr="008F4029">
        <w:rPr>
          <w:rFonts w:cstheme="minorHAnsi"/>
          <w:sz w:val="20"/>
          <w:szCs w:val="20"/>
          <w:lang w:val="en-GB" w:eastAsia="en-GB"/>
        </w:rPr>
        <w:t>service was solely supported by these cadres.</w:t>
      </w:r>
      <w:r>
        <w:rPr>
          <w:rFonts w:cstheme="minorHAnsi"/>
          <w:sz w:val="20"/>
          <w:szCs w:val="20"/>
          <w:lang w:val="en-GB" w:eastAsia="en-GB"/>
        </w:rPr>
        <w:t xml:space="preserve"> </w:t>
      </w:r>
      <w:r w:rsidRPr="008F4029">
        <w:rPr>
          <w:rFonts w:cstheme="minorHAnsi"/>
          <w:sz w:val="20"/>
          <w:szCs w:val="20"/>
          <w:lang w:val="en-GB" w:eastAsia="en-GB"/>
        </w:rPr>
        <w:t xml:space="preserve">One </w:t>
      </w:r>
      <w:r w:rsidR="00B81A52">
        <w:rPr>
          <w:rFonts w:cstheme="minorHAnsi"/>
          <w:sz w:val="20"/>
          <w:szCs w:val="20"/>
          <w:lang w:val="en-GB" w:eastAsia="en-GB"/>
        </w:rPr>
        <w:t>S</w:t>
      </w:r>
      <w:r w:rsidRPr="008F4029">
        <w:rPr>
          <w:rFonts w:cstheme="minorHAnsi"/>
          <w:sz w:val="20"/>
          <w:szCs w:val="20"/>
          <w:lang w:val="en-GB" w:eastAsia="en-GB"/>
        </w:rPr>
        <w:t>ub-</w:t>
      </w:r>
      <w:r w:rsidR="00B81A52">
        <w:rPr>
          <w:rFonts w:cstheme="minorHAnsi"/>
          <w:sz w:val="20"/>
          <w:szCs w:val="20"/>
          <w:lang w:val="en-GB" w:eastAsia="en-GB"/>
        </w:rPr>
        <w:t xml:space="preserve">County </w:t>
      </w:r>
      <w:r w:rsidR="00CE3CFA">
        <w:rPr>
          <w:rFonts w:cstheme="minorHAnsi"/>
          <w:sz w:val="20"/>
          <w:szCs w:val="20"/>
          <w:lang w:val="en-GB" w:eastAsia="en-GB"/>
        </w:rPr>
        <w:t>Medical Officer</w:t>
      </w:r>
      <w:r w:rsidRPr="008F4029">
        <w:rPr>
          <w:rFonts w:cstheme="minorHAnsi"/>
          <w:sz w:val="20"/>
          <w:szCs w:val="20"/>
          <w:lang w:val="en-GB" w:eastAsia="en-GB"/>
        </w:rPr>
        <w:t xml:space="preserve"> acknowledged that she had 800 CHVs of which only 20 were engaged at any given time</w:t>
      </w:r>
      <w:r>
        <w:rPr>
          <w:rFonts w:cstheme="minorHAnsi"/>
          <w:sz w:val="20"/>
          <w:szCs w:val="20"/>
          <w:lang w:val="en-GB" w:eastAsia="en-GB"/>
        </w:rPr>
        <w:t>,</w:t>
      </w:r>
      <w:r w:rsidRPr="008F4029">
        <w:rPr>
          <w:rFonts w:cstheme="minorHAnsi"/>
          <w:sz w:val="20"/>
          <w:szCs w:val="20"/>
          <w:lang w:val="en-GB" w:eastAsia="en-GB"/>
        </w:rPr>
        <w:t xml:space="preserve"> implying that the rest are dormant </w:t>
      </w:r>
      <w:r>
        <w:rPr>
          <w:rFonts w:cstheme="minorHAnsi"/>
          <w:sz w:val="20"/>
          <w:szCs w:val="20"/>
          <w:lang w:val="en-GB" w:eastAsia="en-GB"/>
        </w:rPr>
        <w:t>but could be activated with</w:t>
      </w:r>
      <w:r w:rsidRPr="008F4029">
        <w:rPr>
          <w:rFonts w:cstheme="minorHAnsi"/>
          <w:sz w:val="20"/>
          <w:szCs w:val="20"/>
          <w:lang w:val="en-GB" w:eastAsia="en-GB"/>
        </w:rPr>
        <w:t xml:space="preserve"> incentives.</w:t>
      </w:r>
      <w:r>
        <w:rPr>
          <w:rFonts w:cstheme="minorHAnsi"/>
          <w:sz w:val="20"/>
          <w:szCs w:val="20"/>
          <w:lang w:val="en-GB" w:eastAsia="en-GB"/>
        </w:rPr>
        <w:t xml:space="preserve"> </w:t>
      </w:r>
      <w:r w:rsidR="00B81A52">
        <w:rPr>
          <w:rFonts w:cstheme="minorHAnsi"/>
          <w:sz w:val="20"/>
          <w:szCs w:val="20"/>
          <w:lang w:val="en-GB" w:eastAsia="en-GB"/>
        </w:rPr>
        <w:t xml:space="preserve">This was confirmed by another health worker who suggested that </w:t>
      </w:r>
      <w:r>
        <w:rPr>
          <w:rFonts w:cstheme="minorHAnsi"/>
          <w:sz w:val="20"/>
          <w:szCs w:val="20"/>
          <w:lang w:val="en-GB" w:eastAsia="en-GB"/>
        </w:rPr>
        <w:t xml:space="preserve">CHVs are re-activated through active case finding (by Concern and ACF, when they receive </w:t>
      </w:r>
      <w:proofErr w:type="spellStart"/>
      <w:r>
        <w:rPr>
          <w:rFonts w:cstheme="minorHAnsi"/>
          <w:sz w:val="20"/>
          <w:szCs w:val="20"/>
          <w:lang w:val="en-GB" w:eastAsia="en-GB"/>
        </w:rPr>
        <w:t>Ksh</w:t>
      </w:r>
      <w:proofErr w:type="spellEnd"/>
      <w:r>
        <w:rPr>
          <w:rFonts w:cstheme="minorHAnsi"/>
          <w:sz w:val="20"/>
          <w:szCs w:val="20"/>
          <w:lang w:val="en-GB" w:eastAsia="en-GB"/>
        </w:rPr>
        <w:t xml:space="preserve"> 500) or HIV activities through </w:t>
      </w:r>
      <w:proofErr w:type="spellStart"/>
      <w:r>
        <w:rPr>
          <w:rFonts w:cstheme="minorHAnsi"/>
          <w:sz w:val="20"/>
          <w:szCs w:val="20"/>
          <w:lang w:val="en-GB" w:eastAsia="en-GB"/>
        </w:rPr>
        <w:t>Aphia</w:t>
      </w:r>
      <w:r w:rsidRPr="008F4029">
        <w:rPr>
          <w:rFonts w:cstheme="minorHAnsi"/>
          <w:i/>
          <w:sz w:val="20"/>
          <w:szCs w:val="20"/>
          <w:lang w:val="en-GB" w:eastAsia="en-GB"/>
        </w:rPr>
        <w:t>Plus</w:t>
      </w:r>
      <w:proofErr w:type="spellEnd"/>
      <w:r>
        <w:rPr>
          <w:rFonts w:cstheme="minorHAnsi"/>
          <w:sz w:val="20"/>
          <w:szCs w:val="20"/>
          <w:lang w:val="en-GB" w:eastAsia="en-GB"/>
        </w:rPr>
        <w:t xml:space="preserve">; as </w:t>
      </w:r>
      <w:r w:rsidR="00B81A52">
        <w:rPr>
          <w:rFonts w:cstheme="minorHAnsi"/>
          <w:sz w:val="20"/>
          <w:szCs w:val="20"/>
          <w:lang w:val="en-GB" w:eastAsia="en-GB"/>
        </w:rPr>
        <w:t xml:space="preserve">she </w:t>
      </w:r>
      <w:r>
        <w:rPr>
          <w:rFonts w:cstheme="minorHAnsi"/>
          <w:sz w:val="20"/>
          <w:szCs w:val="20"/>
          <w:lang w:val="en-GB" w:eastAsia="en-GB"/>
        </w:rPr>
        <w:t>noted “a</w:t>
      </w:r>
      <w:r w:rsidRPr="00490E29">
        <w:rPr>
          <w:rFonts w:cstheme="minorHAnsi"/>
          <w:i/>
          <w:sz w:val="20"/>
          <w:szCs w:val="20"/>
          <w:lang w:val="en-GB" w:eastAsia="en-GB"/>
        </w:rPr>
        <w:t xml:space="preserve">ll the active CHVs are </w:t>
      </w:r>
      <w:r w:rsidRPr="006E2801">
        <w:rPr>
          <w:rFonts w:cstheme="minorHAnsi"/>
          <w:i/>
          <w:sz w:val="20"/>
          <w:szCs w:val="20"/>
          <w:lang w:val="en-GB" w:eastAsia="en-GB"/>
        </w:rPr>
        <w:t>also HIV reactive”</w:t>
      </w:r>
      <w:r w:rsidRPr="006E2801">
        <w:rPr>
          <w:rFonts w:cstheme="minorHAnsi"/>
          <w:sz w:val="20"/>
          <w:szCs w:val="20"/>
          <w:lang w:val="en-GB" w:eastAsia="en-GB"/>
        </w:rPr>
        <w:t xml:space="preserve"> (Health Worker, </w:t>
      </w:r>
      <w:r w:rsidR="00227A93">
        <w:rPr>
          <w:rFonts w:cstheme="minorHAnsi"/>
          <w:sz w:val="20"/>
          <w:szCs w:val="20"/>
          <w:lang w:val="en-GB" w:eastAsia="en-GB"/>
        </w:rPr>
        <w:t xml:space="preserve">Biafra </w:t>
      </w:r>
      <w:r w:rsidRPr="006E2801">
        <w:rPr>
          <w:rFonts w:cstheme="minorHAnsi"/>
          <w:sz w:val="20"/>
          <w:szCs w:val="20"/>
          <w:lang w:val="en-GB" w:eastAsia="en-GB"/>
        </w:rPr>
        <w:t xml:space="preserve">Health Centre).Reportedly, CHVs attached to FBO facilities are more active than those attached to the public health facilities; this is attributed to the provision of a monthly stipend. For example, </w:t>
      </w:r>
      <w:r w:rsidR="00D70F7A" w:rsidRPr="006E2801">
        <w:rPr>
          <w:rFonts w:cstheme="minorHAnsi"/>
          <w:sz w:val="20"/>
          <w:szCs w:val="20"/>
          <w:lang w:val="en-GB" w:eastAsia="en-GB"/>
        </w:rPr>
        <w:t xml:space="preserve">the </w:t>
      </w:r>
      <w:r w:rsidRPr="006E2801">
        <w:rPr>
          <w:rFonts w:cstheme="minorHAnsi"/>
          <w:sz w:val="20"/>
          <w:szCs w:val="20"/>
          <w:lang w:val="en-GB" w:eastAsia="en-GB"/>
        </w:rPr>
        <w:t xml:space="preserve">MMM </w:t>
      </w:r>
      <w:r w:rsidR="00D70F7A" w:rsidRPr="006E2801">
        <w:rPr>
          <w:rFonts w:cstheme="minorHAnsi"/>
          <w:sz w:val="20"/>
          <w:szCs w:val="20"/>
          <w:lang w:val="en-GB" w:eastAsia="en-GB"/>
        </w:rPr>
        <w:t xml:space="preserve">Health </w:t>
      </w:r>
      <w:r w:rsidR="00B81A52" w:rsidRPr="006E2801">
        <w:rPr>
          <w:rFonts w:cstheme="minorHAnsi"/>
          <w:sz w:val="20"/>
          <w:szCs w:val="20"/>
          <w:lang w:val="en-GB" w:eastAsia="en-GB"/>
        </w:rPr>
        <w:t>C</w:t>
      </w:r>
      <w:r w:rsidR="00D70F7A" w:rsidRPr="006E2801">
        <w:rPr>
          <w:rFonts w:cstheme="minorHAnsi"/>
          <w:sz w:val="20"/>
          <w:szCs w:val="20"/>
          <w:lang w:val="en-GB" w:eastAsia="en-GB"/>
        </w:rPr>
        <w:t xml:space="preserve">entre </w:t>
      </w:r>
      <w:r w:rsidRPr="006E2801">
        <w:rPr>
          <w:rFonts w:cstheme="minorHAnsi"/>
          <w:sz w:val="20"/>
          <w:szCs w:val="20"/>
          <w:lang w:val="en-GB" w:eastAsia="en-GB"/>
        </w:rPr>
        <w:t>pro</w:t>
      </w:r>
      <w:r w:rsidRPr="008F4029">
        <w:rPr>
          <w:rFonts w:cstheme="minorHAnsi"/>
          <w:sz w:val="20"/>
          <w:szCs w:val="20"/>
          <w:lang w:val="en-GB" w:eastAsia="en-GB"/>
        </w:rPr>
        <w:t xml:space="preserve">vides CHVs with a monthly stipend of </w:t>
      </w:r>
      <w:proofErr w:type="spellStart"/>
      <w:r w:rsidRPr="008F4029">
        <w:rPr>
          <w:rFonts w:cstheme="minorHAnsi"/>
          <w:sz w:val="20"/>
          <w:szCs w:val="20"/>
          <w:lang w:val="en-GB" w:eastAsia="en-GB"/>
        </w:rPr>
        <w:t>Ksh</w:t>
      </w:r>
      <w:proofErr w:type="spellEnd"/>
      <w:r w:rsidRPr="008F4029">
        <w:rPr>
          <w:rFonts w:cstheme="minorHAnsi"/>
          <w:sz w:val="20"/>
          <w:szCs w:val="20"/>
          <w:lang w:val="en-GB" w:eastAsia="en-GB"/>
        </w:rPr>
        <w:t xml:space="preserve"> 2,000 as well as </w:t>
      </w:r>
      <w:proofErr w:type="spellStart"/>
      <w:r w:rsidRPr="008F4029">
        <w:rPr>
          <w:rFonts w:cstheme="minorHAnsi"/>
          <w:sz w:val="20"/>
          <w:szCs w:val="20"/>
          <w:lang w:val="en-GB" w:eastAsia="en-GB"/>
        </w:rPr>
        <w:t>Ksh</w:t>
      </w:r>
      <w:proofErr w:type="spellEnd"/>
      <w:r w:rsidRPr="008F4029">
        <w:rPr>
          <w:rFonts w:cstheme="minorHAnsi"/>
          <w:sz w:val="20"/>
          <w:szCs w:val="20"/>
          <w:lang w:val="en-GB" w:eastAsia="en-GB"/>
        </w:rPr>
        <w:t xml:space="preserve"> 200 for work in the clinic.</w:t>
      </w:r>
      <w:r w:rsidR="00627F41">
        <w:rPr>
          <w:rFonts w:cstheme="minorHAnsi"/>
          <w:sz w:val="20"/>
          <w:szCs w:val="20"/>
          <w:lang w:val="en-GB" w:eastAsia="en-GB"/>
        </w:rPr>
        <w:t xml:space="preserve"> </w:t>
      </w:r>
    </w:p>
    <w:p w14:paraId="5D80AFD8" w14:textId="176FF1C1" w:rsidR="002A6111" w:rsidRPr="006E2801" w:rsidRDefault="00EC7575" w:rsidP="00A54BF4">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Drugs and other consumables</w:t>
      </w:r>
      <w:r w:rsidR="000216C7" w:rsidRPr="00183925">
        <w:rPr>
          <w:rFonts w:cstheme="minorHAnsi"/>
          <w:sz w:val="20"/>
          <w:szCs w:val="20"/>
          <w:lang w:val="en-GB" w:eastAsia="en-GB"/>
        </w:rPr>
        <w:t xml:space="preserve">: Reportedly, </w:t>
      </w:r>
      <w:r w:rsidR="000216C7" w:rsidRPr="006E2801">
        <w:rPr>
          <w:rFonts w:cstheme="minorHAnsi"/>
          <w:sz w:val="20"/>
          <w:szCs w:val="20"/>
          <w:lang w:val="en-GB" w:eastAsia="en-GB"/>
        </w:rPr>
        <w:t xml:space="preserve">IMAM commodities are a major issue in all health facilities visited with stock outs of </w:t>
      </w:r>
      <w:proofErr w:type="spellStart"/>
      <w:r w:rsidR="000216C7" w:rsidRPr="006E2801">
        <w:rPr>
          <w:rFonts w:cstheme="minorHAnsi"/>
          <w:sz w:val="20"/>
          <w:szCs w:val="20"/>
          <w:lang w:val="en-GB" w:eastAsia="en-GB"/>
        </w:rPr>
        <w:t>Plumpy</w:t>
      </w:r>
      <w:proofErr w:type="spellEnd"/>
      <w:r w:rsidR="000216C7" w:rsidRPr="006E2801">
        <w:rPr>
          <w:rFonts w:cstheme="minorHAnsi"/>
          <w:sz w:val="20"/>
          <w:szCs w:val="20"/>
          <w:lang w:val="en-GB" w:eastAsia="en-GB"/>
        </w:rPr>
        <w:t xml:space="preserve">-Nut and Plumy-Sup common for significant periods of time (reported </w:t>
      </w:r>
      <w:r w:rsidR="00A54BF4" w:rsidRPr="006E2801">
        <w:rPr>
          <w:rFonts w:cstheme="minorHAnsi"/>
          <w:sz w:val="20"/>
          <w:szCs w:val="20"/>
          <w:lang w:val="en-GB" w:eastAsia="en-GB"/>
        </w:rPr>
        <w:t xml:space="preserve">to </w:t>
      </w:r>
      <w:r w:rsidR="000216C7" w:rsidRPr="006E2801">
        <w:rPr>
          <w:rFonts w:cstheme="minorHAnsi"/>
          <w:sz w:val="20"/>
          <w:szCs w:val="20"/>
          <w:lang w:val="en-GB" w:eastAsia="en-GB"/>
        </w:rPr>
        <w:t xml:space="preserve">range </w:t>
      </w:r>
      <w:r w:rsidR="00A54BF4" w:rsidRPr="006E2801">
        <w:rPr>
          <w:rFonts w:cstheme="minorHAnsi"/>
          <w:sz w:val="20"/>
          <w:szCs w:val="20"/>
          <w:lang w:val="en-GB" w:eastAsia="en-GB"/>
        </w:rPr>
        <w:t xml:space="preserve">from </w:t>
      </w:r>
      <w:r w:rsidR="000216C7" w:rsidRPr="006E2801">
        <w:rPr>
          <w:rFonts w:cstheme="minorHAnsi"/>
          <w:sz w:val="20"/>
          <w:szCs w:val="20"/>
          <w:lang w:val="en-GB" w:eastAsia="en-GB"/>
        </w:rPr>
        <w:t xml:space="preserve">1-6 months). </w:t>
      </w:r>
      <w:r w:rsidR="00A54BF4" w:rsidRPr="006E2801">
        <w:rPr>
          <w:rFonts w:cstheme="minorHAnsi"/>
          <w:sz w:val="20"/>
          <w:szCs w:val="20"/>
          <w:lang w:val="en-GB" w:eastAsia="en-GB"/>
        </w:rPr>
        <w:t xml:space="preserve">This contributes to the low utilisation of services. </w:t>
      </w:r>
      <w:r w:rsidR="00757BED" w:rsidRPr="006E2801">
        <w:rPr>
          <w:rFonts w:cstheme="minorHAnsi"/>
          <w:i/>
          <w:sz w:val="20"/>
          <w:szCs w:val="20"/>
          <w:lang w:val="en-GB" w:eastAsia="en-GB"/>
        </w:rPr>
        <w:t xml:space="preserve">“If a mother comes to the health facility, </w:t>
      </w:r>
      <w:r w:rsidR="00A54BF4" w:rsidRPr="006E2801">
        <w:rPr>
          <w:rFonts w:cstheme="minorHAnsi"/>
          <w:i/>
          <w:sz w:val="20"/>
          <w:szCs w:val="20"/>
          <w:lang w:val="en-GB" w:eastAsia="en-GB"/>
        </w:rPr>
        <w:t>one</w:t>
      </w:r>
      <w:r w:rsidR="00757BED" w:rsidRPr="006E2801">
        <w:rPr>
          <w:rFonts w:cstheme="minorHAnsi"/>
          <w:i/>
          <w:sz w:val="20"/>
          <w:szCs w:val="20"/>
          <w:lang w:val="en-GB" w:eastAsia="en-GB"/>
        </w:rPr>
        <w:t xml:space="preserve"> to </w:t>
      </w:r>
      <w:r w:rsidR="00A54BF4" w:rsidRPr="006E2801">
        <w:rPr>
          <w:rFonts w:cstheme="minorHAnsi"/>
          <w:i/>
          <w:sz w:val="20"/>
          <w:szCs w:val="20"/>
          <w:lang w:val="en-GB" w:eastAsia="en-GB"/>
        </w:rPr>
        <w:t>two</w:t>
      </w:r>
      <w:r w:rsidR="00757BED" w:rsidRPr="006E2801">
        <w:rPr>
          <w:rFonts w:cstheme="minorHAnsi"/>
          <w:i/>
          <w:sz w:val="20"/>
          <w:szCs w:val="20"/>
          <w:lang w:val="en-GB" w:eastAsia="en-GB"/>
        </w:rPr>
        <w:t xml:space="preserve"> times and meets there is no </w:t>
      </w:r>
      <w:proofErr w:type="spellStart"/>
      <w:r w:rsidR="00A54BF4" w:rsidRPr="006E2801">
        <w:rPr>
          <w:rFonts w:cstheme="minorHAnsi"/>
          <w:i/>
          <w:sz w:val="20"/>
          <w:szCs w:val="20"/>
          <w:lang w:val="en-GB" w:eastAsia="en-GB"/>
        </w:rPr>
        <w:t>P</w:t>
      </w:r>
      <w:r w:rsidR="00757BED" w:rsidRPr="006E2801">
        <w:rPr>
          <w:rFonts w:cstheme="minorHAnsi"/>
          <w:i/>
          <w:sz w:val="20"/>
          <w:szCs w:val="20"/>
          <w:lang w:val="en-GB" w:eastAsia="en-GB"/>
        </w:rPr>
        <w:t>lumpy</w:t>
      </w:r>
      <w:proofErr w:type="spellEnd"/>
      <w:r w:rsidR="00757BED" w:rsidRPr="006E2801">
        <w:rPr>
          <w:rFonts w:cstheme="minorHAnsi"/>
          <w:i/>
          <w:sz w:val="20"/>
          <w:szCs w:val="20"/>
          <w:lang w:val="en-GB" w:eastAsia="en-GB"/>
        </w:rPr>
        <w:t xml:space="preserve"> </w:t>
      </w:r>
      <w:r w:rsidR="00B81A52" w:rsidRPr="006E2801">
        <w:rPr>
          <w:rFonts w:cstheme="minorHAnsi"/>
          <w:i/>
          <w:sz w:val="20"/>
          <w:szCs w:val="20"/>
          <w:lang w:val="en-GB" w:eastAsia="en-GB"/>
        </w:rPr>
        <w:t>N</w:t>
      </w:r>
      <w:r w:rsidR="00757BED" w:rsidRPr="006E2801">
        <w:rPr>
          <w:rFonts w:cstheme="minorHAnsi"/>
          <w:i/>
          <w:sz w:val="20"/>
          <w:szCs w:val="20"/>
          <w:lang w:val="en-GB" w:eastAsia="en-GB"/>
        </w:rPr>
        <w:t>ut, she does not come back again”</w:t>
      </w:r>
      <w:r w:rsidR="00757BED" w:rsidRPr="006E2801">
        <w:rPr>
          <w:rFonts w:cstheme="minorHAnsi"/>
          <w:sz w:val="20"/>
          <w:szCs w:val="20"/>
          <w:lang w:val="en-GB" w:eastAsia="en-GB"/>
        </w:rPr>
        <w:t xml:space="preserve"> </w:t>
      </w:r>
      <w:r w:rsidR="00A54BF4" w:rsidRPr="006E2801">
        <w:rPr>
          <w:rFonts w:cstheme="minorHAnsi"/>
          <w:sz w:val="20"/>
          <w:szCs w:val="20"/>
          <w:lang w:val="en-GB" w:eastAsia="en-GB"/>
        </w:rPr>
        <w:t>(</w:t>
      </w:r>
      <w:r w:rsidR="00757BED" w:rsidRPr="006E2801">
        <w:rPr>
          <w:rFonts w:cstheme="minorHAnsi"/>
          <w:sz w:val="20"/>
          <w:szCs w:val="20"/>
          <w:lang w:val="en-GB" w:eastAsia="en-GB"/>
        </w:rPr>
        <w:t xml:space="preserve">Health Worker, </w:t>
      </w:r>
      <w:proofErr w:type="spellStart"/>
      <w:r w:rsidR="00757BED" w:rsidRPr="006E2801">
        <w:rPr>
          <w:rFonts w:cstheme="minorHAnsi"/>
          <w:sz w:val="20"/>
          <w:szCs w:val="20"/>
          <w:lang w:val="en-GB" w:eastAsia="en-GB"/>
        </w:rPr>
        <w:t>Waithaka</w:t>
      </w:r>
      <w:proofErr w:type="spellEnd"/>
      <w:r w:rsidR="00757BED" w:rsidRPr="006E2801">
        <w:rPr>
          <w:rFonts w:cstheme="minorHAnsi"/>
          <w:sz w:val="20"/>
          <w:szCs w:val="20"/>
          <w:lang w:val="en-GB" w:eastAsia="en-GB"/>
        </w:rPr>
        <w:t xml:space="preserve"> Health Centre</w:t>
      </w:r>
      <w:r w:rsidR="00A54BF4" w:rsidRPr="006E2801">
        <w:rPr>
          <w:rFonts w:cstheme="minorHAnsi"/>
          <w:sz w:val="20"/>
          <w:szCs w:val="20"/>
          <w:lang w:val="en-GB" w:eastAsia="en-GB"/>
        </w:rPr>
        <w:t>)</w:t>
      </w:r>
      <w:r w:rsidR="00757BED" w:rsidRPr="006E2801">
        <w:rPr>
          <w:rFonts w:cstheme="minorHAnsi"/>
          <w:sz w:val="20"/>
          <w:szCs w:val="20"/>
          <w:lang w:val="en-GB" w:eastAsia="en-GB"/>
        </w:rPr>
        <w:t>.</w:t>
      </w:r>
      <w:r w:rsidR="00A54BF4" w:rsidRPr="006E2801">
        <w:rPr>
          <w:rFonts w:cstheme="minorHAnsi"/>
          <w:sz w:val="20"/>
          <w:szCs w:val="20"/>
          <w:lang w:val="en-GB" w:eastAsia="en-GB"/>
        </w:rPr>
        <w:t xml:space="preserve"> Availability of commodities is also hampered by the lack of </w:t>
      </w:r>
      <w:r w:rsidR="00AC08B7" w:rsidRPr="006E2801">
        <w:rPr>
          <w:rFonts w:cstheme="minorHAnsi"/>
          <w:sz w:val="20"/>
          <w:szCs w:val="20"/>
          <w:lang w:val="en-GB" w:eastAsia="en-GB"/>
        </w:rPr>
        <w:t xml:space="preserve">transportation for distribution of supplies to the facilities, </w:t>
      </w:r>
      <w:r w:rsidR="00A54BF4" w:rsidRPr="006E2801">
        <w:rPr>
          <w:rFonts w:cstheme="minorHAnsi"/>
          <w:sz w:val="20"/>
          <w:szCs w:val="20"/>
          <w:lang w:val="en-GB" w:eastAsia="en-GB"/>
        </w:rPr>
        <w:t>which is</w:t>
      </w:r>
      <w:r w:rsidR="00AC08B7" w:rsidRPr="006E2801">
        <w:rPr>
          <w:rFonts w:cstheme="minorHAnsi"/>
          <w:sz w:val="20"/>
          <w:szCs w:val="20"/>
          <w:lang w:val="en-GB" w:eastAsia="en-GB"/>
        </w:rPr>
        <w:t xml:space="preserve"> left to the devices of the </w:t>
      </w:r>
      <w:r w:rsidR="00A54BF4" w:rsidRPr="006E2801">
        <w:rPr>
          <w:rFonts w:cstheme="minorHAnsi"/>
          <w:sz w:val="20"/>
          <w:szCs w:val="20"/>
          <w:lang w:val="en-GB" w:eastAsia="en-GB"/>
        </w:rPr>
        <w:t xml:space="preserve">facility </w:t>
      </w:r>
      <w:r w:rsidR="00AC08B7" w:rsidRPr="006E2801">
        <w:rPr>
          <w:rFonts w:cstheme="minorHAnsi"/>
          <w:sz w:val="20"/>
          <w:szCs w:val="20"/>
          <w:lang w:val="en-GB" w:eastAsia="en-GB"/>
        </w:rPr>
        <w:t xml:space="preserve">in-charges. </w:t>
      </w:r>
      <w:r w:rsidR="009E6527" w:rsidRPr="006E2801">
        <w:rPr>
          <w:rFonts w:cstheme="minorHAnsi"/>
          <w:sz w:val="20"/>
          <w:szCs w:val="20"/>
          <w:lang w:val="en-GB" w:eastAsia="en-GB"/>
        </w:rPr>
        <w:t xml:space="preserve">One </w:t>
      </w:r>
      <w:r w:rsidR="0059524B" w:rsidRPr="006E2801">
        <w:rPr>
          <w:rFonts w:cstheme="minorHAnsi"/>
          <w:sz w:val="20"/>
          <w:szCs w:val="20"/>
          <w:lang w:val="en-GB" w:eastAsia="en-GB"/>
        </w:rPr>
        <w:t>S</w:t>
      </w:r>
      <w:r w:rsidR="009E6527" w:rsidRPr="006E2801">
        <w:rPr>
          <w:rFonts w:cstheme="minorHAnsi"/>
          <w:sz w:val="20"/>
          <w:szCs w:val="20"/>
          <w:lang w:val="en-GB" w:eastAsia="en-GB"/>
        </w:rPr>
        <w:t>ub-</w:t>
      </w:r>
      <w:r w:rsidR="0059524B" w:rsidRPr="006E2801">
        <w:rPr>
          <w:rFonts w:cstheme="minorHAnsi"/>
          <w:sz w:val="20"/>
          <w:szCs w:val="20"/>
          <w:lang w:val="en-GB" w:eastAsia="en-GB"/>
        </w:rPr>
        <w:t>C</w:t>
      </w:r>
      <w:r w:rsidR="009E6527" w:rsidRPr="006E2801">
        <w:rPr>
          <w:rFonts w:cstheme="minorHAnsi"/>
          <w:sz w:val="20"/>
          <w:szCs w:val="20"/>
          <w:lang w:val="en-GB" w:eastAsia="en-GB"/>
        </w:rPr>
        <w:t xml:space="preserve">ounty </w:t>
      </w:r>
      <w:r w:rsidR="00CE3CFA" w:rsidRPr="006E2801">
        <w:rPr>
          <w:rFonts w:cstheme="minorHAnsi"/>
          <w:sz w:val="20"/>
          <w:szCs w:val="20"/>
          <w:lang w:val="en-GB" w:eastAsia="en-GB"/>
        </w:rPr>
        <w:t>Medical Officer</w:t>
      </w:r>
      <w:r w:rsidR="009E6527" w:rsidRPr="006E2801">
        <w:rPr>
          <w:rFonts w:cstheme="minorHAnsi"/>
          <w:sz w:val="20"/>
          <w:szCs w:val="20"/>
          <w:lang w:val="en-GB" w:eastAsia="en-GB"/>
        </w:rPr>
        <w:t xml:space="preserve"> </w:t>
      </w:r>
      <w:r w:rsidR="00A54BF4" w:rsidRPr="006E2801">
        <w:rPr>
          <w:rFonts w:cstheme="minorHAnsi"/>
          <w:sz w:val="20"/>
          <w:szCs w:val="20"/>
          <w:lang w:val="en-GB" w:eastAsia="en-GB"/>
        </w:rPr>
        <w:t xml:space="preserve">further </w:t>
      </w:r>
      <w:r w:rsidR="009E6527" w:rsidRPr="006E2801">
        <w:rPr>
          <w:rFonts w:cstheme="minorHAnsi"/>
          <w:sz w:val="20"/>
          <w:szCs w:val="20"/>
          <w:lang w:val="en-GB" w:eastAsia="en-GB"/>
        </w:rPr>
        <w:t xml:space="preserve">noted that commodities are often received with a short expiry date </w:t>
      </w:r>
      <w:r w:rsidR="00FE6B31" w:rsidRPr="006E2801">
        <w:rPr>
          <w:rFonts w:cstheme="minorHAnsi"/>
          <w:sz w:val="20"/>
          <w:szCs w:val="20"/>
          <w:lang w:val="en-GB" w:eastAsia="en-GB"/>
        </w:rPr>
        <w:t xml:space="preserve">(this was in relation to micro-nutrient powders) </w:t>
      </w:r>
      <w:r w:rsidR="009E6527" w:rsidRPr="006E2801">
        <w:rPr>
          <w:rFonts w:cstheme="minorHAnsi"/>
          <w:sz w:val="20"/>
          <w:szCs w:val="20"/>
          <w:lang w:val="en-GB" w:eastAsia="en-GB"/>
        </w:rPr>
        <w:t xml:space="preserve">which results in pragmatic “mass sharing” </w:t>
      </w:r>
      <w:r w:rsidR="00A54BF4" w:rsidRPr="006E2801">
        <w:rPr>
          <w:rFonts w:cstheme="minorHAnsi"/>
          <w:sz w:val="20"/>
          <w:szCs w:val="20"/>
          <w:lang w:val="en-GB" w:eastAsia="en-GB"/>
        </w:rPr>
        <w:t xml:space="preserve">of the products </w:t>
      </w:r>
      <w:r w:rsidR="009E6527" w:rsidRPr="006E2801">
        <w:rPr>
          <w:rFonts w:cstheme="minorHAnsi"/>
          <w:sz w:val="20"/>
          <w:szCs w:val="20"/>
          <w:lang w:val="en-GB" w:eastAsia="en-GB"/>
        </w:rPr>
        <w:t>in order that they are utilised before they expire.</w:t>
      </w:r>
      <w:r w:rsidR="002727F2" w:rsidRPr="006E2801">
        <w:rPr>
          <w:rFonts w:cstheme="minorHAnsi"/>
          <w:sz w:val="20"/>
          <w:szCs w:val="20"/>
          <w:lang w:val="en-GB" w:eastAsia="en-GB"/>
        </w:rPr>
        <w:t xml:space="preserve"> </w:t>
      </w:r>
      <w:r w:rsidR="009E6527" w:rsidRPr="006E2801">
        <w:rPr>
          <w:rFonts w:cstheme="minorHAnsi"/>
          <w:sz w:val="20"/>
          <w:szCs w:val="20"/>
          <w:lang w:val="en-GB" w:eastAsia="en-GB"/>
        </w:rPr>
        <w:t xml:space="preserve">Other pragmatic responses to commodity stock outs are </w:t>
      </w:r>
      <w:r w:rsidR="00A54BF4" w:rsidRPr="006E2801">
        <w:rPr>
          <w:rFonts w:cstheme="minorHAnsi"/>
          <w:sz w:val="20"/>
          <w:szCs w:val="20"/>
          <w:lang w:val="en-GB" w:eastAsia="en-GB"/>
        </w:rPr>
        <w:t xml:space="preserve">to </w:t>
      </w:r>
      <w:r w:rsidR="009E6527" w:rsidRPr="006E2801">
        <w:rPr>
          <w:rFonts w:cstheme="minorHAnsi"/>
          <w:sz w:val="20"/>
          <w:szCs w:val="20"/>
          <w:lang w:val="en-GB" w:eastAsia="en-GB"/>
        </w:rPr>
        <w:t xml:space="preserve">revert to the provision of health education and counselling </w:t>
      </w:r>
      <w:r w:rsidR="00A54BF4" w:rsidRPr="006E2801">
        <w:rPr>
          <w:rFonts w:cstheme="minorHAnsi"/>
          <w:sz w:val="20"/>
          <w:szCs w:val="20"/>
          <w:lang w:val="en-GB" w:eastAsia="en-GB"/>
        </w:rPr>
        <w:t>of</w:t>
      </w:r>
      <w:r w:rsidR="009E6527" w:rsidRPr="006E2801">
        <w:rPr>
          <w:rFonts w:cstheme="minorHAnsi"/>
          <w:sz w:val="20"/>
          <w:szCs w:val="20"/>
          <w:lang w:val="en-GB" w:eastAsia="en-GB"/>
        </w:rPr>
        <w:t xml:space="preserve"> mothers on </w:t>
      </w:r>
      <w:r w:rsidR="0059524B" w:rsidRPr="006E2801">
        <w:rPr>
          <w:rFonts w:cstheme="minorHAnsi"/>
          <w:sz w:val="20"/>
          <w:szCs w:val="20"/>
          <w:lang w:val="en-GB" w:eastAsia="en-GB"/>
        </w:rPr>
        <w:t>infant and young child feeding (</w:t>
      </w:r>
      <w:r w:rsidR="009E6527" w:rsidRPr="006E2801">
        <w:rPr>
          <w:rFonts w:cstheme="minorHAnsi"/>
          <w:sz w:val="20"/>
          <w:szCs w:val="20"/>
          <w:lang w:val="en-GB" w:eastAsia="en-GB"/>
        </w:rPr>
        <w:t>IYCF</w:t>
      </w:r>
      <w:r w:rsidR="0059524B" w:rsidRPr="006E2801">
        <w:rPr>
          <w:rFonts w:cstheme="minorHAnsi"/>
          <w:sz w:val="20"/>
          <w:szCs w:val="20"/>
          <w:lang w:val="en-GB" w:eastAsia="en-GB"/>
        </w:rPr>
        <w:t>)</w:t>
      </w:r>
      <w:r w:rsidR="009E6527" w:rsidRPr="006E2801">
        <w:rPr>
          <w:rFonts w:cstheme="minorHAnsi"/>
          <w:sz w:val="20"/>
          <w:szCs w:val="20"/>
          <w:lang w:val="en-GB" w:eastAsia="en-GB"/>
        </w:rPr>
        <w:t>, encouraging them to use locally available, nutritio</w:t>
      </w:r>
      <w:r w:rsidR="0059524B" w:rsidRPr="006E2801">
        <w:rPr>
          <w:rFonts w:cstheme="minorHAnsi"/>
          <w:sz w:val="20"/>
          <w:szCs w:val="20"/>
          <w:lang w:val="en-GB" w:eastAsia="en-GB"/>
        </w:rPr>
        <w:t>us</w:t>
      </w:r>
      <w:r w:rsidR="009E6527" w:rsidRPr="006E2801">
        <w:rPr>
          <w:rFonts w:cstheme="minorHAnsi"/>
          <w:sz w:val="20"/>
          <w:szCs w:val="20"/>
          <w:lang w:val="en-GB" w:eastAsia="en-GB"/>
        </w:rPr>
        <w:t xml:space="preserve">, foods. As one health worker recounted, </w:t>
      </w:r>
      <w:r w:rsidR="009E6527" w:rsidRPr="006E2801">
        <w:rPr>
          <w:rFonts w:cstheme="minorHAnsi"/>
          <w:i/>
          <w:sz w:val="20"/>
          <w:szCs w:val="20"/>
          <w:lang w:val="en-GB" w:eastAsia="en-GB"/>
        </w:rPr>
        <w:t>“I tell the mothers that these commodities [Plumy</w:t>
      </w:r>
      <w:r w:rsidR="0059524B" w:rsidRPr="006E2801">
        <w:rPr>
          <w:rFonts w:cstheme="minorHAnsi"/>
          <w:i/>
          <w:sz w:val="20"/>
          <w:szCs w:val="20"/>
          <w:lang w:val="en-GB" w:eastAsia="en-GB"/>
        </w:rPr>
        <w:t xml:space="preserve"> N</w:t>
      </w:r>
      <w:r w:rsidR="009E6527" w:rsidRPr="006E2801">
        <w:rPr>
          <w:rFonts w:cstheme="minorHAnsi"/>
          <w:i/>
          <w:sz w:val="20"/>
          <w:szCs w:val="20"/>
          <w:lang w:val="en-GB" w:eastAsia="en-GB"/>
        </w:rPr>
        <w:t xml:space="preserve">ut and </w:t>
      </w:r>
      <w:proofErr w:type="spellStart"/>
      <w:r w:rsidR="009E6527" w:rsidRPr="006E2801">
        <w:rPr>
          <w:rFonts w:cstheme="minorHAnsi"/>
          <w:i/>
          <w:sz w:val="20"/>
          <w:szCs w:val="20"/>
          <w:lang w:val="en-GB" w:eastAsia="en-GB"/>
        </w:rPr>
        <w:t>Plumpy</w:t>
      </w:r>
      <w:proofErr w:type="spellEnd"/>
      <w:r w:rsidR="0059524B" w:rsidRPr="006E2801">
        <w:rPr>
          <w:rFonts w:cstheme="minorHAnsi"/>
          <w:i/>
          <w:sz w:val="20"/>
          <w:szCs w:val="20"/>
          <w:lang w:val="en-GB" w:eastAsia="en-GB"/>
        </w:rPr>
        <w:t xml:space="preserve"> S</w:t>
      </w:r>
      <w:r w:rsidR="009E6527" w:rsidRPr="006E2801">
        <w:rPr>
          <w:rFonts w:cstheme="minorHAnsi"/>
          <w:i/>
          <w:sz w:val="20"/>
          <w:szCs w:val="20"/>
          <w:lang w:val="en-GB" w:eastAsia="en-GB"/>
        </w:rPr>
        <w:t>up] will not always be available and that it is up to them to feed their children well”</w:t>
      </w:r>
      <w:r w:rsidR="009E6527" w:rsidRPr="006E2801">
        <w:rPr>
          <w:rFonts w:cstheme="minorHAnsi"/>
          <w:sz w:val="20"/>
          <w:szCs w:val="20"/>
          <w:lang w:val="en-GB" w:eastAsia="en-GB"/>
        </w:rPr>
        <w:t xml:space="preserve"> (Health Worker, </w:t>
      </w:r>
      <w:proofErr w:type="spellStart"/>
      <w:r w:rsidR="009E6527" w:rsidRPr="006E2801">
        <w:rPr>
          <w:rFonts w:cstheme="minorHAnsi"/>
          <w:sz w:val="20"/>
          <w:szCs w:val="20"/>
          <w:lang w:val="en-GB" w:eastAsia="en-GB"/>
        </w:rPr>
        <w:t>Kayole</w:t>
      </w:r>
      <w:proofErr w:type="spellEnd"/>
      <w:r w:rsidR="009E6527" w:rsidRPr="006E2801">
        <w:rPr>
          <w:rFonts w:cstheme="minorHAnsi"/>
          <w:sz w:val="20"/>
          <w:szCs w:val="20"/>
          <w:lang w:val="en-GB" w:eastAsia="en-GB"/>
        </w:rPr>
        <w:t xml:space="preserve"> 2 Health Centre). Ironically, stock outs may encourage better communication with mothers as health workers seek to fill the commodity gap with promotive and preventive measures. </w:t>
      </w:r>
      <w:r w:rsidR="00A54BF4" w:rsidRPr="006E2801">
        <w:rPr>
          <w:rFonts w:cstheme="minorHAnsi"/>
          <w:sz w:val="20"/>
          <w:szCs w:val="20"/>
          <w:lang w:val="en-GB" w:eastAsia="en-GB"/>
        </w:rPr>
        <w:t xml:space="preserve">It was also noted, that, in some </w:t>
      </w:r>
      <w:r w:rsidR="002A6111" w:rsidRPr="006E2801">
        <w:rPr>
          <w:rFonts w:cstheme="minorHAnsi"/>
          <w:sz w:val="20"/>
          <w:szCs w:val="20"/>
          <w:lang w:val="en-GB" w:eastAsia="en-GB"/>
        </w:rPr>
        <w:t xml:space="preserve">instances, </w:t>
      </w:r>
      <w:proofErr w:type="spellStart"/>
      <w:r w:rsidR="002A6111" w:rsidRPr="006E2801">
        <w:rPr>
          <w:rFonts w:cstheme="minorHAnsi"/>
          <w:sz w:val="20"/>
          <w:szCs w:val="20"/>
          <w:lang w:val="en-GB" w:eastAsia="en-GB"/>
        </w:rPr>
        <w:t>Plumpy</w:t>
      </w:r>
      <w:proofErr w:type="spellEnd"/>
      <w:r w:rsidR="0059524B" w:rsidRPr="006E2801">
        <w:rPr>
          <w:rFonts w:cstheme="minorHAnsi"/>
          <w:sz w:val="20"/>
          <w:szCs w:val="20"/>
          <w:lang w:val="en-GB" w:eastAsia="en-GB"/>
        </w:rPr>
        <w:t xml:space="preserve"> N</w:t>
      </w:r>
      <w:r w:rsidR="002A6111" w:rsidRPr="006E2801">
        <w:rPr>
          <w:rFonts w:cstheme="minorHAnsi"/>
          <w:sz w:val="20"/>
          <w:szCs w:val="20"/>
          <w:lang w:val="en-GB" w:eastAsia="en-GB"/>
        </w:rPr>
        <w:t>ut was distributed at the waiting area to quiet the children down</w:t>
      </w:r>
      <w:r w:rsidR="00141659" w:rsidRPr="006E2801">
        <w:rPr>
          <w:rFonts w:cstheme="minorHAnsi"/>
          <w:sz w:val="20"/>
          <w:szCs w:val="20"/>
          <w:lang w:val="en-GB" w:eastAsia="en-GB"/>
        </w:rPr>
        <w:t xml:space="preserve"> </w:t>
      </w:r>
      <w:r w:rsidR="002A6111" w:rsidRPr="006E2801">
        <w:rPr>
          <w:rFonts w:cstheme="minorHAnsi"/>
          <w:sz w:val="20"/>
          <w:szCs w:val="20"/>
          <w:lang w:val="en-GB" w:eastAsia="en-GB"/>
        </w:rPr>
        <w:t xml:space="preserve">(Biafra and </w:t>
      </w:r>
      <w:proofErr w:type="spellStart"/>
      <w:r w:rsidR="002A6111" w:rsidRPr="006E2801">
        <w:rPr>
          <w:rFonts w:cstheme="minorHAnsi"/>
          <w:sz w:val="20"/>
          <w:szCs w:val="20"/>
          <w:lang w:val="en-GB" w:eastAsia="en-GB"/>
        </w:rPr>
        <w:t>Makadara</w:t>
      </w:r>
      <w:proofErr w:type="spellEnd"/>
      <w:r w:rsidR="00141659" w:rsidRPr="006E2801">
        <w:rPr>
          <w:rFonts w:cstheme="minorHAnsi"/>
          <w:sz w:val="20"/>
          <w:szCs w:val="20"/>
          <w:lang w:val="en-GB" w:eastAsia="en-GB"/>
        </w:rPr>
        <w:t xml:space="preserve"> Health Centres</w:t>
      </w:r>
      <w:r w:rsidR="002A6111" w:rsidRPr="006E2801">
        <w:rPr>
          <w:rFonts w:cstheme="minorHAnsi"/>
          <w:sz w:val="20"/>
          <w:szCs w:val="20"/>
          <w:lang w:val="en-GB" w:eastAsia="en-GB"/>
        </w:rPr>
        <w:t>).</w:t>
      </w:r>
      <w:r w:rsidR="00940AE0" w:rsidRPr="006E2801">
        <w:rPr>
          <w:rFonts w:cstheme="minorHAnsi"/>
          <w:sz w:val="20"/>
          <w:szCs w:val="20"/>
          <w:lang w:val="en-GB" w:eastAsia="en-GB"/>
        </w:rPr>
        <w:t xml:space="preserve"> </w:t>
      </w:r>
    </w:p>
    <w:p w14:paraId="2CE6E130" w14:textId="3737E6C9" w:rsidR="00141659" w:rsidRDefault="00EC7575" w:rsidP="00141659">
      <w:pPr>
        <w:autoSpaceDE w:val="0"/>
        <w:autoSpaceDN w:val="0"/>
        <w:adjustRightInd w:val="0"/>
        <w:spacing w:before="120"/>
        <w:rPr>
          <w:rFonts w:cstheme="minorHAnsi"/>
          <w:sz w:val="20"/>
          <w:szCs w:val="20"/>
          <w:lang w:val="en-GB" w:eastAsia="en-GB"/>
        </w:rPr>
      </w:pPr>
      <w:r w:rsidRPr="006E2801">
        <w:rPr>
          <w:rFonts w:cstheme="minorHAnsi"/>
          <w:sz w:val="20"/>
          <w:szCs w:val="20"/>
          <w:u w:val="single"/>
          <w:lang w:val="en-GB" w:eastAsia="en-GB"/>
        </w:rPr>
        <w:t>Non-integration of health services</w:t>
      </w:r>
      <w:r w:rsidR="003A5BB0" w:rsidRPr="006E2801">
        <w:rPr>
          <w:rFonts w:cstheme="minorHAnsi"/>
          <w:sz w:val="20"/>
          <w:szCs w:val="20"/>
          <w:u w:val="single"/>
          <w:lang w:val="en-GB" w:eastAsia="en-GB"/>
        </w:rPr>
        <w:t xml:space="preserve">: </w:t>
      </w:r>
      <w:r w:rsidR="00141659" w:rsidRPr="006E2801">
        <w:rPr>
          <w:rFonts w:cstheme="minorHAnsi"/>
          <w:sz w:val="20"/>
          <w:szCs w:val="20"/>
          <w:lang w:val="en-GB" w:eastAsia="en-GB"/>
        </w:rPr>
        <w:t>There was little mention of the lack</w:t>
      </w:r>
      <w:r w:rsidR="00141659">
        <w:rPr>
          <w:rFonts w:cstheme="minorHAnsi"/>
          <w:sz w:val="20"/>
          <w:szCs w:val="20"/>
          <w:lang w:val="en-GB" w:eastAsia="en-GB"/>
        </w:rPr>
        <w:t xml:space="preserve"> of integration of health services by health workers or caretakers however </w:t>
      </w:r>
      <w:r w:rsidR="0059524B">
        <w:rPr>
          <w:rFonts w:cstheme="minorHAnsi"/>
          <w:sz w:val="20"/>
          <w:szCs w:val="20"/>
          <w:lang w:val="en-GB" w:eastAsia="en-GB"/>
        </w:rPr>
        <w:t>Sub-County Medical Officers</w:t>
      </w:r>
      <w:r w:rsidR="00141659">
        <w:rPr>
          <w:rFonts w:cstheme="minorHAnsi"/>
          <w:sz w:val="20"/>
          <w:szCs w:val="20"/>
          <w:lang w:val="en-GB" w:eastAsia="en-GB"/>
        </w:rPr>
        <w:t xml:space="preserve"> consulted highlighted this as a critical issue. It was noted that vertical programme approaches resulted in missed opportunities and a lack of </w:t>
      </w:r>
      <w:r w:rsidR="00141659" w:rsidRPr="00116F85">
        <w:rPr>
          <w:rFonts w:cstheme="minorHAnsi"/>
          <w:i/>
          <w:sz w:val="20"/>
          <w:szCs w:val="20"/>
          <w:lang w:val="en-GB" w:eastAsia="en-GB"/>
        </w:rPr>
        <w:t>“accountability to the child”</w:t>
      </w:r>
      <w:r w:rsidR="00141659">
        <w:rPr>
          <w:rFonts w:cstheme="minorHAnsi"/>
          <w:sz w:val="20"/>
          <w:szCs w:val="20"/>
          <w:lang w:val="en-GB" w:eastAsia="en-GB"/>
        </w:rPr>
        <w:t xml:space="preserve">. Another </w:t>
      </w:r>
      <w:r w:rsidR="0059524B">
        <w:rPr>
          <w:rFonts w:cstheme="minorHAnsi"/>
          <w:sz w:val="20"/>
          <w:szCs w:val="20"/>
          <w:lang w:val="en-GB" w:eastAsia="en-GB"/>
        </w:rPr>
        <w:t>Sub-County Medical Officer</w:t>
      </w:r>
      <w:r w:rsidR="00141659">
        <w:rPr>
          <w:rFonts w:cstheme="minorHAnsi"/>
          <w:sz w:val="20"/>
          <w:szCs w:val="20"/>
          <w:lang w:val="en-GB" w:eastAsia="en-GB"/>
        </w:rPr>
        <w:t xml:space="preserve"> indicated that a “whole of facility” approach to promoting good nutrition was required, however, he noted that </w:t>
      </w:r>
      <w:r w:rsidR="00141659" w:rsidRPr="00141659">
        <w:rPr>
          <w:rFonts w:cstheme="minorHAnsi"/>
          <w:i/>
          <w:sz w:val="20"/>
          <w:szCs w:val="20"/>
          <w:lang w:val="en-GB" w:eastAsia="en-GB"/>
        </w:rPr>
        <w:t>“nutrition services [are treated] as a ‘by the way’”</w:t>
      </w:r>
      <w:r w:rsidR="00141659">
        <w:rPr>
          <w:rFonts w:cstheme="minorHAnsi"/>
          <w:sz w:val="20"/>
          <w:szCs w:val="20"/>
          <w:lang w:val="en-GB" w:eastAsia="en-GB"/>
        </w:rPr>
        <w:t>. In some facilities it was further noted that there was n</w:t>
      </w:r>
      <w:r w:rsidR="00141659" w:rsidRPr="008E408E">
        <w:rPr>
          <w:rFonts w:cstheme="minorHAnsi"/>
          <w:sz w:val="20"/>
          <w:szCs w:val="20"/>
          <w:lang w:val="en-GB" w:eastAsia="en-GB"/>
        </w:rPr>
        <w:t xml:space="preserve">o ownership of the </w:t>
      </w:r>
      <w:r w:rsidR="00141659">
        <w:rPr>
          <w:rFonts w:cstheme="minorHAnsi"/>
          <w:sz w:val="20"/>
          <w:szCs w:val="20"/>
          <w:lang w:val="en-GB" w:eastAsia="en-GB"/>
        </w:rPr>
        <w:t>n</w:t>
      </w:r>
      <w:r w:rsidR="00141659" w:rsidRPr="008E408E">
        <w:rPr>
          <w:rFonts w:cstheme="minorHAnsi"/>
          <w:sz w:val="20"/>
          <w:szCs w:val="20"/>
          <w:lang w:val="en-GB" w:eastAsia="en-GB"/>
        </w:rPr>
        <w:t xml:space="preserve">utrition </w:t>
      </w:r>
      <w:r w:rsidR="00141659">
        <w:rPr>
          <w:rFonts w:cstheme="minorHAnsi"/>
          <w:sz w:val="20"/>
          <w:szCs w:val="20"/>
          <w:lang w:val="en-GB" w:eastAsia="en-GB"/>
        </w:rPr>
        <w:t>t</w:t>
      </w:r>
      <w:r w:rsidR="00141659" w:rsidRPr="008E408E">
        <w:rPr>
          <w:rFonts w:cstheme="minorHAnsi"/>
          <w:sz w:val="20"/>
          <w:szCs w:val="20"/>
          <w:lang w:val="en-GB" w:eastAsia="en-GB"/>
        </w:rPr>
        <w:t xml:space="preserve">reatment </w:t>
      </w:r>
      <w:r w:rsidR="00141659">
        <w:rPr>
          <w:rFonts w:cstheme="minorHAnsi"/>
          <w:sz w:val="20"/>
          <w:szCs w:val="20"/>
          <w:lang w:val="en-GB" w:eastAsia="en-GB"/>
        </w:rPr>
        <w:t>p</w:t>
      </w:r>
      <w:r w:rsidR="00141659" w:rsidRPr="008E408E">
        <w:rPr>
          <w:rFonts w:cstheme="minorHAnsi"/>
          <w:sz w:val="20"/>
          <w:szCs w:val="20"/>
          <w:lang w:val="en-GB" w:eastAsia="en-GB"/>
        </w:rPr>
        <w:t>rogram</w:t>
      </w:r>
      <w:r w:rsidR="00141659">
        <w:rPr>
          <w:rFonts w:cstheme="minorHAnsi"/>
          <w:sz w:val="20"/>
          <w:szCs w:val="20"/>
          <w:lang w:val="en-GB" w:eastAsia="en-GB"/>
        </w:rPr>
        <w:t>me, and, s</w:t>
      </w:r>
      <w:r w:rsidR="00141659" w:rsidRPr="008E408E">
        <w:rPr>
          <w:rFonts w:cstheme="minorHAnsi"/>
          <w:sz w:val="20"/>
          <w:szCs w:val="20"/>
          <w:lang w:val="en-GB" w:eastAsia="en-GB"/>
        </w:rPr>
        <w:t>hould the CHEW or CH</w:t>
      </w:r>
      <w:r w:rsidR="00141659">
        <w:rPr>
          <w:rFonts w:cstheme="minorHAnsi"/>
          <w:sz w:val="20"/>
          <w:szCs w:val="20"/>
          <w:lang w:val="en-GB" w:eastAsia="en-GB"/>
        </w:rPr>
        <w:t>V</w:t>
      </w:r>
      <w:r w:rsidR="00141659" w:rsidRPr="008E408E">
        <w:rPr>
          <w:rFonts w:cstheme="minorHAnsi"/>
          <w:sz w:val="20"/>
          <w:szCs w:val="20"/>
          <w:lang w:val="en-GB" w:eastAsia="en-GB"/>
        </w:rPr>
        <w:t xml:space="preserve"> be absent, no nutritional services </w:t>
      </w:r>
      <w:r w:rsidR="00141659">
        <w:rPr>
          <w:rFonts w:cstheme="minorHAnsi"/>
          <w:sz w:val="20"/>
          <w:szCs w:val="20"/>
          <w:lang w:val="en-GB" w:eastAsia="en-GB"/>
        </w:rPr>
        <w:t>would be</w:t>
      </w:r>
      <w:r w:rsidR="00141659" w:rsidRPr="008E408E">
        <w:rPr>
          <w:rFonts w:cstheme="minorHAnsi"/>
          <w:sz w:val="20"/>
          <w:szCs w:val="20"/>
          <w:lang w:val="en-GB" w:eastAsia="en-GB"/>
        </w:rPr>
        <w:t xml:space="preserve"> offered. </w:t>
      </w:r>
      <w:r w:rsidR="00141659">
        <w:rPr>
          <w:rFonts w:cstheme="minorHAnsi"/>
          <w:sz w:val="20"/>
          <w:szCs w:val="20"/>
          <w:lang w:val="en-GB" w:eastAsia="en-GB"/>
        </w:rPr>
        <w:t>In her opinion, t</w:t>
      </w:r>
      <w:r w:rsidR="00141659" w:rsidRPr="008E408E">
        <w:rPr>
          <w:rFonts w:cstheme="minorHAnsi"/>
          <w:sz w:val="20"/>
          <w:szCs w:val="20"/>
          <w:lang w:val="en-GB" w:eastAsia="en-GB"/>
        </w:rPr>
        <w:t>he nurses view the nutrition program</w:t>
      </w:r>
      <w:r w:rsidR="00141659">
        <w:rPr>
          <w:rFonts w:cstheme="minorHAnsi"/>
          <w:sz w:val="20"/>
          <w:szCs w:val="20"/>
          <w:lang w:val="en-GB" w:eastAsia="en-GB"/>
        </w:rPr>
        <w:t>me</w:t>
      </w:r>
      <w:r w:rsidR="00141659" w:rsidRPr="008E408E">
        <w:rPr>
          <w:rFonts w:cstheme="minorHAnsi"/>
          <w:sz w:val="20"/>
          <w:szCs w:val="20"/>
          <w:lang w:val="en-GB" w:eastAsia="en-GB"/>
        </w:rPr>
        <w:t xml:space="preserve"> as an extension of the community program</w:t>
      </w:r>
      <w:r w:rsidR="00141659">
        <w:rPr>
          <w:rFonts w:cstheme="minorHAnsi"/>
          <w:sz w:val="20"/>
          <w:szCs w:val="20"/>
          <w:lang w:val="en-GB" w:eastAsia="en-GB"/>
        </w:rPr>
        <w:t>me (Health Worker, Health Centre</w:t>
      </w:r>
      <w:r w:rsidR="006E2801">
        <w:rPr>
          <w:rFonts w:cstheme="minorHAnsi"/>
          <w:sz w:val="20"/>
          <w:szCs w:val="20"/>
          <w:lang w:val="en-GB" w:eastAsia="en-GB"/>
        </w:rPr>
        <w:t xml:space="preserve"> in </w:t>
      </w:r>
      <w:proofErr w:type="spellStart"/>
      <w:r w:rsidR="006E2801">
        <w:rPr>
          <w:rFonts w:cstheme="minorHAnsi"/>
          <w:sz w:val="20"/>
          <w:szCs w:val="20"/>
          <w:lang w:val="en-GB" w:eastAsia="en-GB"/>
        </w:rPr>
        <w:t>Kamukunji</w:t>
      </w:r>
      <w:proofErr w:type="spellEnd"/>
      <w:r w:rsidR="006E2801">
        <w:rPr>
          <w:rFonts w:cstheme="minorHAnsi"/>
          <w:sz w:val="20"/>
          <w:szCs w:val="20"/>
          <w:lang w:val="en-GB" w:eastAsia="en-GB"/>
        </w:rPr>
        <w:t xml:space="preserve"> Sub-County</w:t>
      </w:r>
      <w:r w:rsidR="00141659">
        <w:rPr>
          <w:rFonts w:cstheme="minorHAnsi"/>
          <w:sz w:val="20"/>
          <w:szCs w:val="20"/>
          <w:lang w:val="en-GB" w:eastAsia="en-GB"/>
        </w:rPr>
        <w:t xml:space="preserve">). </w:t>
      </w:r>
    </w:p>
    <w:p w14:paraId="3059C19C" w14:textId="77777777" w:rsidR="00567F67" w:rsidRDefault="00EC7575" w:rsidP="00567F67">
      <w:pPr>
        <w:autoSpaceDE w:val="0"/>
        <w:autoSpaceDN w:val="0"/>
        <w:adjustRightInd w:val="0"/>
        <w:spacing w:before="120"/>
        <w:rPr>
          <w:rFonts w:cstheme="minorHAnsi"/>
          <w:sz w:val="20"/>
          <w:szCs w:val="20"/>
        </w:rPr>
      </w:pPr>
      <w:r w:rsidRPr="00183925">
        <w:rPr>
          <w:rFonts w:cstheme="minorHAnsi"/>
          <w:sz w:val="20"/>
          <w:szCs w:val="20"/>
          <w:u w:val="single"/>
          <w:lang w:val="en-GB" w:eastAsia="en-GB"/>
        </w:rPr>
        <w:t>Lack of opportunity (exclusion from services)</w:t>
      </w:r>
      <w:r w:rsidR="003A5BB0" w:rsidRPr="00141659">
        <w:rPr>
          <w:rFonts w:cstheme="minorHAnsi"/>
          <w:sz w:val="20"/>
          <w:szCs w:val="20"/>
          <w:lang w:val="en-GB" w:eastAsia="en-GB"/>
        </w:rPr>
        <w:t>:</w:t>
      </w:r>
      <w:r w:rsidR="00141659" w:rsidRPr="00141659">
        <w:rPr>
          <w:rFonts w:cstheme="minorHAnsi"/>
          <w:sz w:val="20"/>
          <w:szCs w:val="20"/>
          <w:lang w:val="en-GB" w:eastAsia="en-GB"/>
        </w:rPr>
        <w:t xml:space="preserve"> A whole of facility</w:t>
      </w:r>
      <w:r w:rsidR="00141659">
        <w:rPr>
          <w:rFonts w:cstheme="minorHAnsi"/>
          <w:sz w:val="20"/>
          <w:szCs w:val="20"/>
          <w:lang w:val="en-GB" w:eastAsia="en-GB"/>
        </w:rPr>
        <w:t xml:space="preserve"> approach to the promotion of nutrition would reduce exclusion from nutrition services. </w:t>
      </w:r>
      <w:r w:rsidR="00567F67">
        <w:rPr>
          <w:rFonts w:cstheme="minorHAnsi"/>
          <w:sz w:val="20"/>
          <w:szCs w:val="20"/>
          <w:lang w:val="en-GB" w:eastAsia="en-GB"/>
        </w:rPr>
        <w:t xml:space="preserve">It was noted that, in some facilities, </w:t>
      </w:r>
      <w:r w:rsidR="00753FFA">
        <w:rPr>
          <w:rFonts w:cstheme="minorHAnsi"/>
          <w:sz w:val="20"/>
          <w:szCs w:val="20"/>
          <w:lang w:val="en-GB" w:eastAsia="en-GB"/>
        </w:rPr>
        <w:t xml:space="preserve">even </w:t>
      </w:r>
      <w:r w:rsidR="0059524B">
        <w:rPr>
          <w:rFonts w:cstheme="minorHAnsi"/>
          <w:sz w:val="20"/>
          <w:szCs w:val="20"/>
          <w:lang w:val="en-GB" w:eastAsia="en-GB"/>
        </w:rPr>
        <w:t>antenatal care (</w:t>
      </w:r>
      <w:r w:rsidR="00567F67" w:rsidRPr="008E408E">
        <w:rPr>
          <w:rFonts w:cstheme="minorHAnsi"/>
          <w:sz w:val="20"/>
          <w:szCs w:val="20"/>
        </w:rPr>
        <w:t>ANC</w:t>
      </w:r>
      <w:r w:rsidR="0059524B">
        <w:rPr>
          <w:rFonts w:cstheme="minorHAnsi"/>
          <w:sz w:val="20"/>
          <w:szCs w:val="20"/>
        </w:rPr>
        <w:t>)</w:t>
      </w:r>
      <w:r w:rsidR="00567F67" w:rsidRPr="008E408E">
        <w:rPr>
          <w:rFonts w:cstheme="minorHAnsi"/>
          <w:sz w:val="20"/>
          <w:szCs w:val="20"/>
        </w:rPr>
        <w:t xml:space="preserve"> </w:t>
      </w:r>
      <w:r w:rsidR="0059524B">
        <w:rPr>
          <w:rFonts w:cstheme="minorHAnsi"/>
          <w:sz w:val="20"/>
          <w:szCs w:val="20"/>
        </w:rPr>
        <w:t xml:space="preserve">clients </w:t>
      </w:r>
      <w:r w:rsidR="00753FFA">
        <w:rPr>
          <w:rFonts w:cstheme="minorHAnsi"/>
          <w:sz w:val="20"/>
          <w:szCs w:val="20"/>
        </w:rPr>
        <w:t>and</w:t>
      </w:r>
      <w:r w:rsidR="00567F67" w:rsidRPr="008E408E">
        <w:rPr>
          <w:rFonts w:cstheme="minorHAnsi"/>
          <w:sz w:val="20"/>
          <w:szCs w:val="20"/>
        </w:rPr>
        <w:t xml:space="preserve"> those </w:t>
      </w:r>
      <w:r w:rsidR="0059524B">
        <w:rPr>
          <w:rFonts w:cstheme="minorHAnsi"/>
          <w:sz w:val="20"/>
          <w:szCs w:val="20"/>
        </w:rPr>
        <w:t xml:space="preserve">with </w:t>
      </w:r>
      <w:r w:rsidR="00567F67" w:rsidRPr="008E408E">
        <w:rPr>
          <w:rFonts w:cstheme="minorHAnsi"/>
          <w:sz w:val="20"/>
          <w:szCs w:val="20"/>
        </w:rPr>
        <w:t>bab</w:t>
      </w:r>
      <w:r w:rsidR="00567F67">
        <w:rPr>
          <w:rFonts w:cstheme="minorHAnsi"/>
          <w:sz w:val="20"/>
          <w:szCs w:val="20"/>
        </w:rPr>
        <w:t>ie</w:t>
      </w:r>
      <w:r w:rsidR="00567F67" w:rsidRPr="008E408E">
        <w:rPr>
          <w:rFonts w:cstheme="minorHAnsi"/>
          <w:sz w:val="20"/>
          <w:szCs w:val="20"/>
        </w:rPr>
        <w:t xml:space="preserve">s at </w:t>
      </w:r>
      <w:r w:rsidR="00567F67">
        <w:rPr>
          <w:rFonts w:cstheme="minorHAnsi"/>
          <w:sz w:val="20"/>
          <w:szCs w:val="20"/>
        </w:rPr>
        <w:t>six</w:t>
      </w:r>
      <w:r w:rsidR="00567F67" w:rsidRPr="008E408E">
        <w:rPr>
          <w:rFonts w:cstheme="minorHAnsi"/>
          <w:sz w:val="20"/>
          <w:szCs w:val="20"/>
        </w:rPr>
        <w:t xml:space="preserve"> months beginning complementary feeding</w:t>
      </w:r>
      <w:r w:rsidR="00567F67">
        <w:rPr>
          <w:rFonts w:cstheme="minorHAnsi"/>
          <w:sz w:val="20"/>
          <w:szCs w:val="20"/>
        </w:rPr>
        <w:t xml:space="preserve">, </w:t>
      </w:r>
      <w:r w:rsidR="00753FFA">
        <w:rPr>
          <w:rFonts w:cstheme="minorHAnsi"/>
          <w:sz w:val="20"/>
          <w:szCs w:val="20"/>
        </w:rPr>
        <w:t>were</w:t>
      </w:r>
      <w:r w:rsidR="00567F67">
        <w:rPr>
          <w:rFonts w:cstheme="minorHAnsi"/>
          <w:sz w:val="20"/>
          <w:szCs w:val="20"/>
        </w:rPr>
        <w:t xml:space="preserve"> not counselled u</w:t>
      </w:r>
      <w:r w:rsidR="00567F67" w:rsidRPr="008E408E">
        <w:rPr>
          <w:rFonts w:cstheme="minorHAnsi"/>
          <w:sz w:val="20"/>
          <w:szCs w:val="20"/>
        </w:rPr>
        <w:t xml:space="preserve">nless </w:t>
      </w:r>
      <w:r w:rsidR="00567F67">
        <w:rPr>
          <w:rFonts w:cstheme="minorHAnsi"/>
          <w:sz w:val="20"/>
          <w:szCs w:val="20"/>
        </w:rPr>
        <w:t>a</w:t>
      </w:r>
      <w:r w:rsidR="00567F67" w:rsidRPr="008E408E">
        <w:rPr>
          <w:rFonts w:cstheme="minorHAnsi"/>
          <w:sz w:val="20"/>
          <w:szCs w:val="20"/>
        </w:rPr>
        <w:t xml:space="preserve"> CH</w:t>
      </w:r>
      <w:r w:rsidR="00567F67">
        <w:rPr>
          <w:rFonts w:cstheme="minorHAnsi"/>
          <w:sz w:val="20"/>
          <w:szCs w:val="20"/>
        </w:rPr>
        <w:t>V</w:t>
      </w:r>
      <w:r w:rsidR="00567F67" w:rsidRPr="008E408E">
        <w:rPr>
          <w:rFonts w:cstheme="minorHAnsi"/>
          <w:sz w:val="20"/>
          <w:szCs w:val="20"/>
        </w:rPr>
        <w:t xml:space="preserve"> or </w:t>
      </w:r>
      <w:r w:rsidR="00567F67">
        <w:rPr>
          <w:rFonts w:cstheme="minorHAnsi"/>
          <w:sz w:val="20"/>
          <w:szCs w:val="20"/>
        </w:rPr>
        <w:t>C</w:t>
      </w:r>
      <w:r w:rsidR="00567F67" w:rsidRPr="008E408E">
        <w:rPr>
          <w:rFonts w:cstheme="minorHAnsi"/>
          <w:sz w:val="20"/>
          <w:szCs w:val="20"/>
        </w:rPr>
        <w:t>HEW intervene</w:t>
      </w:r>
      <w:r w:rsidR="0059524B">
        <w:rPr>
          <w:rFonts w:cstheme="minorHAnsi"/>
          <w:sz w:val="20"/>
          <w:szCs w:val="20"/>
        </w:rPr>
        <w:t>d</w:t>
      </w:r>
      <w:r w:rsidR="00567F67" w:rsidRPr="00F84AE2">
        <w:rPr>
          <w:rFonts w:cstheme="minorHAnsi"/>
          <w:sz w:val="20"/>
          <w:szCs w:val="20"/>
        </w:rPr>
        <w:t>.</w:t>
      </w:r>
      <w:r w:rsidR="00567F67" w:rsidRPr="006F31EA">
        <w:rPr>
          <w:rFonts w:cstheme="minorHAnsi"/>
          <w:sz w:val="20"/>
          <w:szCs w:val="20"/>
        </w:rPr>
        <w:t xml:space="preserve"> Where </w:t>
      </w:r>
      <w:r w:rsidR="0059524B" w:rsidRPr="006F31EA">
        <w:rPr>
          <w:rFonts w:cstheme="minorHAnsi"/>
          <w:sz w:val="20"/>
          <w:szCs w:val="20"/>
        </w:rPr>
        <w:t>high impact nutrition intervention (</w:t>
      </w:r>
      <w:r w:rsidR="00567F67" w:rsidRPr="006F31EA">
        <w:rPr>
          <w:rFonts w:cstheme="minorHAnsi"/>
          <w:sz w:val="20"/>
          <w:szCs w:val="20"/>
        </w:rPr>
        <w:t>HINI</w:t>
      </w:r>
      <w:r w:rsidR="0059524B" w:rsidRPr="006F31EA">
        <w:rPr>
          <w:rFonts w:cstheme="minorHAnsi"/>
          <w:sz w:val="20"/>
          <w:szCs w:val="20"/>
        </w:rPr>
        <w:t>)</w:t>
      </w:r>
      <w:r w:rsidR="00567F67" w:rsidRPr="006F31EA">
        <w:rPr>
          <w:rFonts w:cstheme="minorHAnsi"/>
          <w:sz w:val="20"/>
          <w:szCs w:val="20"/>
        </w:rPr>
        <w:t xml:space="preserve"> assessments have been conducted</w:t>
      </w:r>
      <w:r w:rsidR="0059524B" w:rsidRPr="006F31EA">
        <w:rPr>
          <w:rFonts w:cstheme="minorHAnsi"/>
          <w:sz w:val="20"/>
          <w:szCs w:val="20"/>
        </w:rPr>
        <w:t xml:space="preserve">, </w:t>
      </w:r>
      <w:r w:rsidR="00567F67" w:rsidRPr="006F31EA">
        <w:rPr>
          <w:rFonts w:cstheme="minorHAnsi"/>
          <w:sz w:val="20"/>
          <w:szCs w:val="20"/>
        </w:rPr>
        <w:t>identified gaps have been addressed suggesting that more systematic performance assessments would reduce exclusion and other supply-side barriers.</w:t>
      </w:r>
      <w:r w:rsidR="00567F67">
        <w:rPr>
          <w:rFonts w:cstheme="minorHAnsi"/>
          <w:sz w:val="20"/>
          <w:szCs w:val="20"/>
        </w:rPr>
        <w:t xml:space="preserve"> </w:t>
      </w:r>
    </w:p>
    <w:p w14:paraId="7E6548F9" w14:textId="77777777" w:rsidR="000C3715" w:rsidRPr="006E2801" w:rsidRDefault="00EC7575" w:rsidP="00567F67">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Late or no referral</w:t>
      </w:r>
      <w:r w:rsidR="003A5BB0" w:rsidRPr="003B3CBD">
        <w:rPr>
          <w:rFonts w:cstheme="minorHAnsi"/>
          <w:sz w:val="20"/>
          <w:szCs w:val="20"/>
          <w:lang w:val="en-GB" w:eastAsia="en-GB"/>
        </w:rPr>
        <w:t>:</w:t>
      </w:r>
      <w:r w:rsidR="00904434" w:rsidRPr="003B3CBD">
        <w:rPr>
          <w:rFonts w:cstheme="minorHAnsi"/>
          <w:sz w:val="20"/>
          <w:szCs w:val="20"/>
          <w:lang w:val="en-GB" w:eastAsia="en-GB"/>
        </w:rPr>
        <w:t xml:space="preserve"> </w:t>
      </w:r>
      <w:r w:rsidR="00904434">
        <w:rPr>
          <w:rFonts w:cstheme="minorHAnsi"/>
          <w:sz w:val="20"/>
          <w:szCs w:val="20"/>
          <w:lang w:val="en-GB" w:eastAsia="en-GB"/>
        </w:rPr>
        <w:t>Referrals do occur, from the community to health facilities and from other departments within</w:t>
      </w:r>
      <w:r w:rsidR="000C3715">
        <w:rPr>
          <w:rFonts w:cstheme="minorHAnsi"/>
          <w:sz w:val="20"/>
          <w:szCs w:val="20"/>
          <w:lang w:val="en-GB" w:eastAsia="en-GB"/>
        </w:rPr>
        <w:t xml:space="preserve"> </w:t>
      </w:r>
      <w:r w:rsidR="00904434">
        <w:rPr>
          <w:rFonts w:cstheme="minorHAnsi"/>
          <w:sz w:val="20"/>
          <w:szCs w:val="20"/>
          <w:lang w:val="en-GB" w:eastAsia="en-GB"/>
        </w:rPr>
        <w:t xml:space="preserve">health facilities however this practice </w:t>
      </w:r>
      <w:r w:rsidR="00845BAF">
        <w:rPr>
          <w:rFonts w:cstheme="minorHAnsi"/>
          <w:sz w:val="20"/>
          <w:szCs w:val="20"/>
          <w:lang w:val="en-GB" w:eastAsia="en-GB"/>
        </w:rPr>
        <w:t xml:space="preserve">is </w:t>
      </w:r>
      <w:r w:rsidR="00904434">
        <w:rPr>
          <w:rFonts w:cstheme="minorHAnsi"/>
          <w:sz w:val="20"/>
          <w:szCs w:val="20"/>
          <w:lang w:val="en-GB" w:eastAsia="en-GB"/>
        </w:rPr>
        <w:t xml:space="preserve">not systemic. </w:t>
      </w:r>
      <w:r w:rsidR="00845BAF">
        <w:rPr>
          <w:rFonts w:cstheme="minorHAnsi"/>
          <w:sz w:val="20"/>
          <w:szCs w:val="20"/>
          <w:lang w:val="en-GB" w:eastAsia="en-GB"/>
        </w:rPr>
        <w:t>In almost all instances, health facility personnel did not report the presence of an a</w:t>
      </w:r>
      <w:r w:rsidR="00845BAF" w:rsidRPr="00845BAF">
        <w:rPr>
          <w:rFonts w:cstheme="minorHAnsi"/>
          <w:sz w:val="20"/>
          <w:szCs w:val="20"/>
          <w:lang w:val="en-GB" w:eastAsia="en-GB"/>
        </w:rPr>
        <w:t xml:space="preserve">ctive </w:t>
      </w:r>
      <w:r w:rsidR="00845BAF">
        <w:rPr>
          <w:rFonts w:cstheme="minorHAnsi"/>
          <w:sz w:val="20"/>
          <w:szCs w:val="20"/>
          <w:lang w:val="en-GB" w:eastAsia="en-GB"/>
        </w:rPr>
        <w:t>c</w:t>
      </w:r>
      <w:r w:rsidR="00845BAF" w:rsidRPr="00845BAF">
        <w:rPr>
          <w:rFonts w:cstheme="minorHAnsi"/>
          <w:sz w:val="20"/>
          <w:szCs w:val="20"/>
          <w:lang w:val="en-GB" w:eastAsia="en-GB"/>
        </w:rPr>
        <w:t xml:space="preserve">ommunity </w:t>
      </w:r>
      <w:r w:rsidR="00845BAF">
        <w:rPr>
          <w:rFonts w:cstheme="minorHAnsi"/>
          <w:sz w:val="20"/>
          <w:szCs w:val="20"/>
          <w:lang w:val="en-GB" w:eastAsia="en-GB"/>
        </w:rPr>
        <w:t>u</w:t>
      </w:r>
      <w:r w:rsidR="00845BAF" w:rsidRPr="00845BAF">
        <w:rPr>
          <w:rFonts w:cstheme="minorHAnsi"/>
          <w:sz w:val="20"/>
          <w:szCs w:val="20"/>
          <w:lang w:val="en-GB" w:eastAsia="en-GB"/>
        </w:rPr>
        <w:t xml:space="preserve">nit </w:t>
      </w:r>
      <w:r w:rsidR="00845BAF">
        <w:rPr>
          <w:rFonts w:cstheme="minorHAnsi"/>
          <w:sz w:val="20"/>
          <w:szCs w:val="20"/>
          <w:lang w:val="en-GB" w:eastAsia="en-GB"/>
        </w:rPr>
        <w:t>(CU), limiting referrals from communities to health facilities</w:t>
      </w:r>
      <w:r w:rsidR="000C3715">
        <w:rPr>
          <w:rFonts w:cstheme="minorHAnsi"/>
          <w:sz w:val="20"/>
          <w:szCs w:val="20"/>
          <w:lang w:val="en-GB" w:eastAsia="en-GB"/>
        </w:rPr>
        <w:t xml:space="preserve"> or follow up in communities</w:t>
      </w:r>
      <w:r w:rsidR="00845BAF" w:rsidRPr="00845BAF">
        <w:rPr>
          <w:rFonts w:cstheme="minorHAnsi"/>
          <w:sz w:val="20"/>
          <w:szCs w:val="20"/>
          <w:lang w:val="en-GB" w:eastAsia="en-GB"/>
        </w:rPr>
        <w:t>.</w:t>
      </w:r>
      <w:r w:rsidR="00845BAF">
        <w:rPr>
          <w:rFonts w:cstheme="minorHAnsi"/>
          <w:sz w:val="20"/>
          <w:szCs w:val="20"/>
          <w:lang w:val="en-GB" w:eastAsia="en-GB"/>
        </w:rPr>
        <w:t xml:space="preserve"> </w:t>
      </w:r>
      <w:r w:rsidR="000C3715">
        <w:rPr>
          <w:rFonts w:cstheme="minorHAnsi"/>
          <w:sz w:val="20"/>
          <w:szCs w:val="20"/>
          <w:lang w:val="en-GB" w:eastAsia="en-GB"/>
        </w:rPr>
        <w:t xml:space="preserve">As moderate </w:t>
      </w:r>
      <w:r w:rsidR="000C3715" w:rsidRPr="006E2801">
        <w:rPr>
          <w:rFonts w:cstheme="minorHAnsi"/>
          <w:sz w:val="20"/>
          <w:szCs w:val="20"/>
          <w:lang w:val="en-GB" w:eastAsia="en-GB"/>
        </w:rPr>
        <w:t xml:space="preserve">acute malnutrition </w:t>
      </w:r>
      <w:r w:rsidR="0059524B" w:rsidRPr="006E2801">
        <w:rPr>
          <w:rFonts w:cstheme="minorHAnsi"/>
          <w:sz w:val="20"/>
          <w:szCs w:val="20"/>
          <w:lang w:val="en-GB" w:eastAsia="en-GB"/>
        </w:rPr>
        <w:t xml:space="preserve">(MAM) </w:t>
      </w:r>
      <w:r w:rsidR="000C3715" w:rsidRPr="006E2801">
        <w:rPr>
          <w:rFonts w:cstheme="minorHAnsi"/>
          <w:sz w:val="20"/>
          <w:szCs w:val="20"/>
          <w:lang w:val="en-GB" w:eastAsia="en-GB"/>
        </w:rPr>
        <w:t>and stunting are not viewed by most mothers as an illness, children requiring treatment are identified</w:t>
      </w:r>
      <w:r w:rsidR="00A55336" w:rsidRPr="006E2801">
        <w:rPr>
          <w:rFonts w:cstheme="minorHAnsi"/>
          <w:sz w:val="20"/>
          <w:szCs w:val="20"/>
          <w:lang w:val="en-GB" w:eastAsia="en-GB"/>
        </w:rPr>
        <w:t xml:space="preserve"> when they come for routine GMP or when seeking health care for other illnesses such as diarrhoea or coughs and colds.</w:t>
      </w:r>
      <w:r w:rsidR="00F7709E" w:rsidRPr="006E2801">
        <w:rPr>
          <w:rFonts w:cstheme="minorHAnsi"/>
          <w:sz w:val="20"/>
          <w:szCs w:val="20"/>
          <w:lang w:val="en-GB" w:eastAsia="en-GB"/>
        </w:rPr>
        <w:t xml:space="preserve"> </w:t>
      </w:r>
      <w:r w:rsidR="00FE6B31" w:rsidRPr="006E2801">
        <w:rPr>
          <w:rFonts w:cstheme="minorHAnsi"/>
          <w:sz w:val="20"/>
          <w:szCs w:val="20"/>
          <w:lang w:val="en-GB" w:eastAsia="en-GB"/>
        </w:rPr>
        <w:t xml:space="preserve"> </w:t>
      </w:r>
      <w:r w:rsidR="00F20556" w:rsidRPr="006E2801">
        <w:rPr>
          <w:rFonts w:cstheme="minorHAnsi"/>
          <w:sz w:val="20"/>
          <w:szCs w:val="20"/>
          <w:lang w:val="en-GB" w:eastAsia="en-GB"/>
        </w:rPr>
        <w:t xml:space="preserve">Of the </w:t>
      </w:r>
      <w:r w:rsidR="009E6527" w:rsidRPr="006E2801">
        <w:rPr>
          <w:rFonts w:cstheme="minorHAnsi"/>
          <w:sz w:val="20"/>
          <w:szCs w:val="20"/>
          <w:lang w:val="en-GB" w:eastAsia="en-GB"/>
        </w:rPr>
        <w:t xml:space="preserve">25 </w:t>
      </w:r>
      <w:r w:rsidR="00F20556" w:rsidRPr="006E2801">
        <w:rPr>
          <w:rFonts w:cstheme="minorHAnsi"/>
          <w:sz w:val="20"/>
          <w:szCs w:val="20"/>
          <w:lang w:val="en-GB" w:eastAsia="en-GB"/>
        </w:rPr>
        <w:t xml:space="preserve">caretakers consulted only one had been referred by a CHV and </w:t>
      </w:r>
      <w:r w:rsidR="008E5FDA" w:rsidRPr="006E2801">
        <w:rPr>
          <w:rFonts w:cstheme="minorHAnsi"/>
          <w:sz w:val="20"/>
          <w:szCs w:val="20"/>
          <w:lang w:val="en-GB" w:eastAsia="en-GB"/>
        </w:rPr>
        <w:t>three</w:t>
      </w:r>
      <w:r w:rsidR="00F20556" w:rsidRPr="006E2801">
        <w:rPr>
          <w:rFonts w:cstheme="minorHAnsi"/>
          <w:sz w:val="20"/>
          <w:szCs w:val="20"/>
          <w:lang w:val="en-GB" w:eastAsia="en-GB"/>
        </w:rPr>
        <w:t xml:space="preserve"> knew of active CUs (</w:t>
      </w:r>
      <w:r w:rsidR="008E5FDA" w:rsidRPr="006E2801">
        <w:rPr>
          <w:rFonts w:cstheme="minorHAnsi"/>
          <w:sz w:val="20"/>
          <w:szCs w:val="20"/>
          <w:lang w:val="en-GB" w:eastAsia="en-GB"/>
        </w:rPr>
        <w:t>these caretakers</w:t>
      </w:r>
      <w:r w:rsidR="00F20556" w:rsidRPr="006E2801">
        <w:rPr>
          <w:rFonts w:cstheme="minorHAnsi"/>
          <w:sz w:val="20"/>
          <w:szCs w:val="20"/>
          <w:lang w:val="en-GB" w:eastAsia="en-GB"/>
        </w:rPr>
        <w:t xml:space="preserve"> were attending the </w:t>
      </w:r>
      <w:proofErr w:type="spellStart"/>
      <w:r w:rsidR="00F20556" w:rsidRPr="006E2801">
        <w:rPr>
          <w:rFonts w:cstheme="minorHAnsi"/>
          <w:sz w:val="20"/>
          <w:szCs w:val="20"/>
          <w:lang w:val="en-GB" w:eastAsia="en-GB"/>
        </w:rPr>
        <w:t>Korogocho</w:t>
      </w:r>
      <w:proofErr w:type="spellEnd"/>
      <w:r w:rsidR="00F20556" w:rsidRPr="006E2801">
        <w:rPr>
          <w:rFonts w:cstheme="minorHAnsi"/>
          <w:sz w:val="20"/>
          <w:szCs w:val="20"/>
          <w:lang w:val="en-GB" w:eastAsia="en-GB"/>
        </w:rPr>
        <w:t xml:space="preserve"> </w:t>
      </w:r>
      <w:r w:rsidR="008E5FDA" w:rsidRPr="006E2801">
        <w:rPr>
          <w:rFonts w:cstheme="minorHAnsi"/>
          <w:sz w:val="20"/>
          <w:szCs w:val="20"/>
          <w:lang w:val="en-GB" w:eastAsia="en-GB"/>
        </w:rPr>
        <w:t xml:space="preserve">Health Centre and </w:t>
      </w:r>
      <w:proofErr w:type="spellStart"/>
      <w:r w:rsidR="008E5FDA" w:rsidRPr="006E2801">
        <w:rPr>
          <w:rFonts w:cstheme="minorHAnsi"/>
          <w:sz w:val="20"/>
          <w:szCs w:val="20"/>
          <w:lang w:val="en-GB" w:eastAsia="en-GB"/>
        </w:rPr>
        <w:t>Mji</w:t>
      </w:r>
      <w:proofErr w:type="spellEnd"/>
      <w:r w:rsidR="008E5FDA" w:rsidRPr="006E2801">
        <w:rPr>
          <w:rFonts w:cstheme="minorHAnsi"/>
          <w:sz w:val="20"/>
          <w:szCs w:val="20"/>
          <w:lang w:val="en-GB" w:eastAsia="en-GB"/>
        </w:rPr>
        <w:t xml:space="preserve"> </w:t>
      </w:r>
      <w:proofErr w:type="spellStart"/>
      <w:proofErr w:type="gramStart"/>
      <w:r w:rsidR="000C3715" w:rsidRPr="006E2801">
        <w:rPr>
          <w:rFonts w:cstheme="minorHAnsi"/>
          <w:sz w:val="20"/>
          <w:szCs w:val="20"/>
          <w:lang w:val="en-GB" w:eastAsia="en-GB"/>
        </w:rPr>
        <w:t>w</w:t>
      </w:r>
      <w:r w:rsidR="008E5FDA" w:rsidRPr="006E2801">
        <w:rPr>
          <w:rFonts w:cstheme="minorHAnsi"/>
          <w:sz w:val="20"/>
          <w:szCs w:val="20"/>
          <w:lang w:val="en-GB" w:eastAsia="en-GB"/>
        </w:rPr>
        <w:t>a</w:t>
      </w:r>
      <w:proofErr w:type="spellEnd"/>
      <w:proofErr w:type="gramEnd"/>
      <w:r w:rsidR="008E5FDA" w:rsidRPr="006E2801">
        <w:rPr>
          <w:rFonts w:cstheme="minorHAnsi"/>
          <w:sz w:val="20"/>
          <w:szCs w:val="20"/>
          <w:lang w:val="en-GB" w:eastAsia="en-GB"/>
        </w:rPr>
        <w:t xml:space="preserve"> </w:t>
      </w:r>
      <w:proofErr w:type="spellStart"/>
      <w:r w:rsidR="008E5FDA" w:rsidRPr="006E2801">
        <w:rPr>
          <w:rFonts w:cstheme="minorHAnsi"/>
          <w:sz w:val="20"/>
          <w:szCs w:val="20"/>
          <w:lang w:val="en-GB" w:eastAsia="en-GB"/>
        </w:rPr>
        <w:t>Huruma</w:t>
      </w:r>
      <w:proofErr w:type="spellEnd"/>
      <w:r w:rsidR="008E5FDA" w:rsidRPr="006E2801">
        <w:rPr>
          <w:rFonts w:cstheme="minorHAnsi"/>
          <w:sz w:val="20"/>
          <w:szCs w:val="20"/>
          <w:lang w:val="en-GB" w:eastAsia="en-GB"/>
        </w:rPr>
        <w:t xml:space="preserve"> Dispensary</w:t>
      </w:r>
      <w:r w:rsidR="00F20556" w:rsidRPr="006E2801">
        <w:rPr>
          <w:rFonts w:cstheme="minorHAnsi"/>
          <w:sz w:val="20"/>
          <w:szCs w:val="20"/>
          <w:lang w:val="en-GB" w:eastAsia="en-GB"/>
        </w:rPr>
        <w:t>)</w:t>
      </w:r>
      <w:r w:rsidR="00A55336" w:rsidRPr="006E2801">
        <w:rPr>
          <w:rFonts w:cstheme="minorHAnsi"/>
          <w:sz w:val="20"/>
          <w:szCs w:val="20"/>
          <w:lang w:val="en-GB" w:eastAsia="en-GB"/>
        </w:rPr>
        <w:t>.</w:t>
      </w:r>
    </w:p>
    <w:p w14:paraId="0EAD675B" w14:textId="77777777" w:rsidR="00745D8F" w:rsidRPr="00183925" w:rsidRDefault="000C3715" w:rsidP="00EC7575">
      <w:pPr>
        <w:autoSpaceDE w:val="0"/>
        <w:autoSpaceDN w:val="0"/>
        <w:adjustRightInd w:val="0"/>
        <w:spacing w:before="60" w:after="60"/>
        <w:rPr>
          <w:rFonts w:cstheme="minorHAnsi"/>
          <w:sz w:val="20"/>
          <w:szCs w:val="20"/>
          <w:lang w:val="en-GB" w:eastAsia="en-GB"/>
        </w:rPr>
      </w:pPr>
      <w:r w:rsidRPr="006E2801">
        <w:rPr>
          <w:rFonts w:cstheme="minorHAnsi"/>
          <w:sz w:val="20"/>
          <w:szCs w:val="20"/>
          <w:lang w:val="en-GB" w:eastAsia="en-GB"/>
        </w:rPr>
        <w:lastRenderedPageBreak/>
        <w:t>Furthermore, d</w:t>
      </w:r>
      <w:r w:rsidR="0003377F" w:rsidRPr="006E2801">
        <w:rPr>
          <w:rFonts w:cstheme="minorHAnsi"/>
          <w:sz w:val="20"/>
          <w:szCs w:val="20"/>
          <w:lang w:val="en-GB" w:eastAsia="en-GB"/>
        </w:rPr>
        <w:t>espite widespread recognition of informal day care centres</w:t>
      </w:r>
      <w:r w:rsidR="0003377F">
        <w:rPr>
          <w:rFonts w:cstheme="minorHAnsi"/>
          <w:sz w:val="20"/>
          <w:szCs w:val="20"/>
          <w:lang w:val="en-GB" w:eastAsia="en-GB"/>
        </w:rPr>
        <w:t xml:space="preserve"> </w:t>
      </w:r>
      <w:r w:rsidR="0059524B">
        <w:rPr>
          <w:rFonts w:cstheme="minorHAnsi"/>
          <w:sz w:val="20"/>
          <w:szCs w:val="20"/>
          <w:lang w:val="en-GB" w:eastAsia="en-GB"/>
        </w:rPr>
        <w:t xml:space="preserve">as a </w:t>
      </w:r>
      <w:r w:rsidR="0003377F">
        <w:rPr>
          <w:rFonts w:cstheme="minorHAnsi"/>
          <w:sz w:val="20"/>
          <w:szCs w:val="20"/>
          <w:lang w:val="en-GB" w:eastAsia="en-GB"/>
        </w:rPr>
        <w:t xml:space="preserve">“source” of malnutrition, there is no sustained engagement with these sites </w:t>
      </w:r>
      <w:r>
        <w:rPr>
          <w:rFonts w:cstheme="minorHAnsi"/>
          <w:sz w:val="20"/>
          <w:szCs w:val="20"/>
          <w:lang w:val="en-GB" w:eastAsia="en-GB"/>
        </w:rPr>
        <w:t>by</w:t>
      </w:r>
      <w:r w:rsidR="0003377F">
        <w:rPr>
          <w:rFonts w:cstheme="minorHAnsi"/>
          <w:sz w:val="20"/>
          <w:szCs w:val="20"/>
          <w:lang w:val="en-GB" w:eastAsia="en-GB"/>
        </w:rPr>
        <w:t xml:space="preserve"> health facilities </w:t>
      </w:r>
      <w:r>
        <w:rPr>
          <w:rFonts w:cstheme="minorHAnsi"/>
          <w:sz w:val="20"/>
          <w:szCs w:val="20"/>
          <w:lang w:val="en-GB" w:eastAsia="en-GB"/>
        </w:rPr>
        <w:t>or CUs</w:t>
      </w:r>
      <w:r w:rsidR="0003377F">
        <w:rPr>
          <w:rFonts w:cstheme="minorHAnsi"/>
          <w:sz w:val="20"/>
          <w:szCs w:val="20"/>
          <w:lang w:val="en-GB" w:eastAsia="en-GB"/>
        </w:rPr>
        <w:t xml:space="preserve">. </w:t>
      </w:r>
      <w:r w:rsidR="004661FC">
        <w:rPr>
          <w:rFonts w:cstheme="minorHAnsi"/>
          <w:sz w:val="20"/>
          <w:szCs w:val="20"/>
          <w:lang w:val="en-GB" w:eastAsia="en-GB"/>
        </w:rPr>
        <w:t xml:space="preserve">It was reported that therapeutic foods, </w:t>
      </w:r>
      <w:proofErr w:type="spellStart"/>
      <w:r w:rsidR="004661FC" w:rsidRPr="004661FC">
        <w:rPr>
          <w:rFonts w:cstheme="minorHAnsi"/>
          <w:sz w:val="20"/>
          <w:szCs w:val="20"/>
          <w:lang w:val="en-GB" w:eastAsia="en-GB"/>
        </w:rPr>
        <w:t>Plumpy</w:t>
      </w:r>
      <w:proofErr w:type="spellEnd"/>
      <w:r w:rsidR="0059524B">
        <w:rPr>
          <w:rFonts w:cstheme="minorHAnsi"/>
          <w:sz w:val="20"/>
          <w:szCs w:val="20"/>
          <w:lang w:val="en-GB" w:eastAsia="en-GB"/>
        </w:rPr>
        <w:t xml:space="preserve"> N</w:t>
      </w:r>
      <w:r w:rsidR="004661FC" w:rsidRPr="004661FC">
        <w:rPr>
          <w:rFonts w:cstheme="minorHAnsi"/>
          <w:sz w:val="20"/>
          <w:szCs w:val="20"/>
          <w:lang w:val="en-GB" w:eastAsia="en-GB"/>
        </w:rPr>
        <w:t xml:space="preserve">ut </w:t>
      </w:r>
      <w:r w:rsidR="0059524B">
        <w:rPr>
          <w:rFonts w:cstheme="minorHAnsi"/>
          <w:sz w:val="20"/>
          <w:szCs w:val="20"/>
          <w:lang w:val="en-GB" w:eastAsia="en-GB"/>
        </w:rPr>
        <w:t>and Plumy S</w:t>
      </w:r>
      <w:r w:rsidR="004661FC">
        <w:rPr>
          <w:rFonts w:cstheme="minorHAnsi"/>
          <w:sz w:val="20"/>
          <w:szCs w:val="20"/>
          <w:lang w:val="en-GB" w:eastAsia="en-GB"/>
        </w:rPr>
        <w:t>up</w:t>
      </w:r>
      <w:r w:rsidR="00F20556">
        <w:rPr>
          <w:rFonts w:cstheme="minorHAnsi"/>
          <w:sz w:val="20"/>
          <w:szCs w:val="20"/>
          <w:lang w:val="en-GB" w:eastAsia="en-GB"/>
        </w:rPr>
        <w:t>,</w:t>
      </w:r>
      <w:r w:rsidR="004661FC">
        <w:rPr>
          <w:rFonts w:cstheme="minorHAnsi"/>
          <w:sz w:val="20"/>
          <w:szCs w:val="20"/>
          <w:lang w:val="en-GB" w:eastAsia="en-GB"/>
        </w:rPr>
        <w:t xml:space="preserve"> are often </w:t>
      </w:r>
      <w:r w:rsidR="004661FC" w:rsidRPr="004661FC">
        <w:rPr>
          <w:rFonts w:cstheme="minorHAnsi"/>
          <w:sz w:val="20"/>
          <w:szCs w:val="20"/>
          <w:lang w:val="en-GB" w:eastAsia="en-GB"/>
        </w:rPr>
        <w:t>shared in the day cares</w:t>
      </w:r>
      <w:r w:rsidR="004661FC">
        <w:rPr>
          <w:rFonts w:cstheme="minorHAnsi"/>
          <w:sz w:val="20"/>
          <w:szCs w:val="20"/>
          <w:lang w:val="en-GB" w:eastAsia="en-GB"/>
        </w:rPr>
        <w:t xml:space="preserve"> and that </w:t>
      </w:r>
      <w:r>
        <w:rPr>
          <w:rFonts w:cstheme="minorHAnsi"/>
          <w:sz w:val="20"/>
          <w:szCs w:val="20"/>
          <w:lang w:val="en-GB" w:eastAsia="en-GB"/>
        </w:rPr>
        <w:t>their operators</w:t>
      </w:r>
      <w:r w:rsidR="004661FC" w:rsidRPr="004661FC">
        <w:rPr>
          <w:rFonts w:cstheme="minorHAnsi"/>
          <w:sz w:val="20"/>
          <w:szCs w:val="20"/>
          <w:lang w:val="en-GB" w:eastAsia="en-GB"/>
        </w:rPr>
        <w:t xml:space="preserve"> </w:t>
      </w:r>
      <w:r w:rsidR="0059524B">
        <w:rPr>
          <w:rFonts w:cstheme="minorHAnsi"/>
          <w:sz w:val="20"/>
          <w:szCs w:val="20"/>
          <w:lang w:val="en-GB" w:eastAsia="en-GB"/>
        </w:rPr>
        <w:t>do</w:t>
      </w:r>
      <w:r w:rsidR="004661FC">
        <w:rPr>
          <w:rFonts w:cstheme="minorHAnsi"/>
          <w:sz w:val="20"/>
          <w:szCs w:val="20"/>
          <w:lang w:val="en-GB" w:eastAsia="en-GB"/>
        </w:rPr>
        <w:t xml:space="preserve"> </w:t>
      </w:r>
      <w:r w:rsidR="004661FC" w:rsidRPr="004661FC">
        <w:rPr>
          <w:rFonts w:cstheme="minorHAnsi"/>
          <w:sz w:val="20"/>
          <w:szCs w:val="20"/>
          <w:lang w:val="en-GB" w:eastAsia="en-GB"/>
        </w:rPr>
        <w:t xml:space="preserve">not </w:t>
      </w:r>
      <w:r w:rsidR="00F20556">
        <w:rPr>
          <w:rFonts w:cstheme="minorHAnsi"/>
          <w:sz w:val="20"/>
          <w:szCs w:val="20"/>
          <w:lang w:val="en-GB" w:eastAsia="en-GB"/>
        </w:rPr>
        <w:t>actively</w:t>
      </w:r>
      <w:r w:rsidR="004661FC" w:rsidRPr="004661FC">
        <w:rPr>
          <w:rFonts w:cstheme="minorHAnsi"/>
          <w:sz w:val="20"/>
          <w:szCs w:val="20"/>
          <w:lang w:val="en-GB" w:eastAsia="en-GB"/>
        </w:rPr>
        <w:t xml:space="preserve"> feed the children with food provided.</w:t>
      </w:r>
      <w:r w:rsidR="004661FC">
        <w:rPr>
          <w:rFonts w:cstheme="minorHAnsi"/>
          <w:sz w:val="20"/>
          <w:szCs w:val="20"/>
          <w:lang w:val="en-GB" w:eastAsia="en-GB"/>
        </w:rPr>
        <w:t xml:space="preserve"> </w:t>
      </w:r>
      <w:r w:rsidR="00FE6B31" w:rsidRPr="00FE6B31">
        <w:rPr>
          <w:rFonts w:cstheme="minorHAnsi"/>
          <w:sz w:val="20"/>
          <w:szCs w:val="20"/>
          <w:lang w:val="en-GB" w:eastAsia="en-GB"/>
        </w:rPr>
        <w:t xml:space="preserve">It is reportedly a common practice for </w:t>
      </w:r>
      <w:proofErr w:type="spellStart"/>
      <w:r w:rsidR="00FE6B31" w:rsidRPr="00FE6B31">
        <w:rPr>
          <w:rFonts w:cstheme="minorHAnsi"/>
          <w:sz w:val="20"/>
          <w:szCs w:val="20"/>
          <w:lang w:val="en-GB" w:eastAsia="en-GB"/>
        </w:rPr>
        <w:t>Plumpy</w:t>
      </w:r>
      <w:proofErr w:type="spellEnd"/>
      <w:r w:rsidR="00FE6B31" w:rsidRPr="00FE6B31">
        <w:rPr>
          <w:rFonts w:cstheme="minorHAnsi"/>
          <w:sz w:val="20"/>
          <w:szCs w:val="20"/>
          <w:lang w:val="en-GB" w:eastAsia="en-GB"/>
        </w:rPr>
        <w:t xml:space="preserve"> Nut to be used like peanut butter on bread and shared with other children in the day cares in lieu of other food options</w:t>
      </w:r>
      <w:r w:rsidR="00F945A7">
        <w:rPr>
          <w:rFonts w:cstheme="minorHAnsi"/>
          <w:sz w:val="20"/>
          <w:szCs w:val="20"/>
          <w:lang w:val="en-GB" w:eastAsia="en-GB"/>
        </w:rPr>
        <w:t>.</w:t>
      </w:r>
      <w:r w:rsidR="00FE6B31" w:rsidRPr="00FE6B31">
        <w:rPr>
          <w:rFonts w:cstheme="minorHAnsi"/>
          <w:sz w:val="20"/>
          <w:szCs w:val="20"/>
          <w:lang w:val="en-GB" w:eastAsia="en-GB"/>
        </w:rPr>
        <w:t xml:space="preserve"> </w:t>
      </w:r>
      <w:r w:rsidR="004661FC">
        <w:rPr>
          <w:rFonts w:cstheme="minorHAnsi"/>
          <w:sz w:val="20"/>
          <w:szCs w:val="20"/>
          <w:lang w:val="en-GB" w:eastAsia="en-GB"/>
        </w:rPr>
        <w:t>As mothers work long hours, this means the</w:t>
      </w:r>
      <w:r w:rsidR="00F20556">
        <w:rPr>
          <w:rFonts w:cstheme="minorHAnsi"/>
          <w:sz w:val="20"/>
          <w:szCs w:val="20"/>
          <w:lang w:val="en-GB" w:eastAsia="en-GB"/>
        </w:rPr>
        <w:t>i</w:t>
      </w:r>
      <w:r w:rsidR="004661FC">
        <w:rPr>
          <w:rFonts w:cstheme="minorHAnsi"/>
          <w:sz w:val="20"/>
          <w:szCs w:val="20"/>
          <w:lang w:val="en-GB" w:eastAsia="en-GB"/>
        </w:rPr>
        <w:t xml:space="preserve">r children go for significant periods without adequate care or food. </w:t>
      </w:r>
      <w:r w:rsidR="00745D8F">
        <w:rPr>
          <w:rFonts w:cstheme="minorHAnsi"/>
          <w:sz w:val="20"/>
          <w:szCs w:val="20"/>
          <w:lang w:val="en-GB" w:eastAsia="en-GB"/>
        </w:rPr>
        <w:t>One mother recounted that in the day cares</w:t>
      </w:r>
      <w:r w:rsidR="00745D8F" w:rsidRPr="00745D8F">
        <w:rPr>
          <w:rFonts w:cstheme="minorHAnsi"/>
          <w:sz w:val="20"/>
          <w:szCs w:val="20"/>
          <w:lang w:val="en-GB" w:eastAsia="en-GB"/>
        </w:rPr>
        <w:t xml:space="preserve">, the children face neglect and appear to have brittle, discoloured hair and bulging stomachs. </w:t>
      </w:r>
      <w:r>
        <w:rPr>
          <w:rFonts w:cstheme="minorHAnsi"/>
          <w:sz w:val="20"/>
          <w:szCs w:val="20"/>
          <w:lang w:val="en-GB" w:eastAsia="en-GB"/>
        </w:rPr>
        <w:t xml:space="preserve">The lack of referral or engagement with day cares is a significant missed opportunity for addressing malnutrition within the community.   </w:t>
      </w:r>
    </w:p>
    <w:p w14:paraId="2D62BAF1" w14:textId="77777777" w:rsidR="00AC3F18" w:rsidRDefault="00AC3F18" w:rsidP="000216C7">
      <w:pPr>
        <w:pStyle w:val="Heading3"/>
        <w:spacing w:before="120" w:after="120"/>
        <w:rPr>
          <w:rFonts w:ascii="Arial" w:hAnsi="Arial" w:cs="Arial"/>
          <w:b/>
          <w:i/>
          <w:sz w:val="20"/>
          <w:szCs w:val="20"/>
          <w:lang w:val="en-GB" w:eastAsia="en-GB"/>
        </w:rPr>
      </w:pPr>
      <w:bookmarkStart w:id="22" w:name="_Toc425677343"/>
      <w:bookmarkStart w:id="23" w:name="_Toc425696934"/>
      <w:bookmarkStart w:id="24" w:name="_Toc426023532"/>
      <w:bookmarkStart w:id="25" w:name="_Toc428029666"/>
      <w:r w:rsidRPr="003A5BB0">
        <w:rPr>
          <w:rFonts w:ascii="Arial" w:hAnsi="Arial" w:cs="Arial"/>
          <w:b/>
          <w:i/>
          <w:sz w:val="20"/>
          <w:szCs w:val="20"/>
          <w:lang w:val="en-GB" w:eastAsia="en-GB"/>
        </w:rPr>
        <w:t>Demand-side</w:t>
      </w:r>
      <w:bookmarkEnd w:id="22"/>
      <w:bookmarkEnd w:id="23"/>
      <w:bookmarkEnd w:id="24"/>
      <w:bookmarkEnd w:id="25"/>
    </w:p>
    <w:p w14:paraId="3FAA81D3" w14:textId="057FE43A" w:rsidR="000C3715" w:rsidRDefault="000216C7" w:rsidP="000216C7">
      <w:pPr>
        <w:spacing w:before="60" w:after="60"/>
        <w:rPr>
          <w:rFonts w:cstheme="minorHAnsi"/>
          <w:sz w:val="20"/>
          <w:szCs w:val="20"/>
          <w:lang w:val="en-GB" w:eastAsia="en-GB"/>
        </w:rPr>
      </w:pPr>
      <w:r w:rsidRPr="00183925">
        <w:rPr>
          <w:rFonts w:cstheme="minorHAnsi"/>
          <w:sz w:val="20"/>
          <w:szCs w:val="20"/>
          <w:u w:val="single"/>
          <w:lang w:val="en-GB" w:eastAsia="en-GB"/>
        </w:rPr>
        <w:t>Information on health care services, providers</w:t>
      </w:r>
      <w:r w:rsidR="007C174E" w:rsidRPr="00183925">
        <w:rPr>
          <w:rFonts w:cstheme="minorHAnsi"/>
          <w:sz w:val="20"/>
          <w:szCs w:val="20"/>
          <w:lang w:val="en-GB" w:eastAsia="en-GB"/>
        </w:rPr>
        <w:t xml:space="preserve">: </w:t>
      </w:r>
      <w:r w:rsidR="000C3715">
        <w:rPr>
          <w:rFonts w:cstheme="minorHAnsi"/>
          <w:sz w:val="20"/>
          <w:szCs w:val="20"/>
          <w:lang w:val="en-GB" w:eastAsia="en-GB"/>
        </w:rPr>
        <w:t>The</w:t>
      </w:r>
      <w:r w:rsidR="007C174E" w:rsidRPr="00183925">
        <w:rPr>
          <w:rFonts w:cstheme="minorHAnsi"/>
          <w:sz w:val="20"/>
          <w:szCs w:val="20"/>
          <w:lang w:val="en-GB" w:eastAsia="en-GB"/>
        </w:rPr>
        <w:t xml:space="preserve"> </w:t>
      </w:r>
      <w:r w:rsidR="0059524B">
        <w:rPr>
          <w:rFonts w:cstheme="minorHAnsi"/>
          <w:sz w:val="20"/>
          <w:szCs w:val="20"/>
          <w:lang w:val="en-GB" w:eastAsia="en-GB"/>
        </w:rPr>
        <w:t xml:space="preserve">lack of </w:t>
      </w:r>
      <w:r w:rsidR="007C174E" w:rsidRPr="00183925">
        <w:rPr>
          <w:rFonts w:cstheme="minorHAnsi"/>
          <w:sz w:val="20"/>
          <w:szCs w:val="20"/>
          <w:lang w:val="en-GB" w:eastAsia="en-GB"/>
        </w:rPr>
        <w:t xml:space="preserve">functionality of </w:t>
      </w:r>
      <w:r w:rsidR="000C3715">
        <w:rPr>
          <w:rFonts w:cstheme="minorHAnsi"/>
          <w:sz w:val="20"/>
          <w:szCs w:val="20"/>
          <w:lang w:val="en-GB" w:eastAsia="en-GB"/>
        </w:rPr>
        <w:t>CUs</w:t>
      </w:r>
      <w:r w:rsidR="007C174E" w:rsidRPr="00183925">
        <w:rPr>
          <w:rFonts w:cstheme="minorHAnsi"/>
          <w:sz w:val="20"/>
          <w:szCs w:val="20"/>
          <w:lang w:val="en-GB" w:eastAsia="en-GB"/>
        </w:rPr>
        <w:t xml:space="preserve"> </w:t>
      </w:r>
      <w:r w:rsidR="000C3715">
        <w:rPr>
          <w:rFonts w:cstheme="minorHAnsi"/>
          <w:sz w:val="20"/>
          <w:szCs w:val="20"/>
          <w:lang w:val="en-GB" w:eastAsia="en-GB"/>
        </w:rPr>
        <w:t xml:space="preserve">as well as the </w:t>
      </w:r>
      <w:r w:rsidR="0059524B">
        <w:rPr>
          <w:rFonts w:cstheme="minorHAnsi"/>
          <w:sz w:val="20"/>
          <w:szCs w:val="20"/>
          <w:lang w:val="en-GB" w:eastAsia="en-GB"/>
        </w:rPr>
        <w:t>in</w:t>
      </w:r>
      <w:r w:rsidR="000C3715">
        <w:rPr>
          <w:rFonts w:cstheme="minorHAnsi"/>
          <w:sz w:val="20"/>
          <w:szCs w:val="20"/>
          <w:lang w:val="en-GB" w:eastAsia="en-GB"/>
        </w:rPr>
        <w:t xml:space="preserve">frequency of community outreach </w:t>
      </w:r>
      <w:r w:rsidR="00183925" w:rsidRPr="00183925">
        <w:rPr>
          <w:rFonts w:cstheme="minorHAnsi"/>
          <w:sz w:val="20"/>
          <w:szCs w:val="20"/>
          <w:lang w:val="en-GB" w:eastAsia="en-GB"/>
        </w:rPr>
        <w:t xml:space="preserve">has a significant bearing on utilisation of </w:t>
      </w:r>
      <w:r w:rsidR="00F945A7">
        <w:rPr>
          <w:rFonts w:cstheme="minorHAnsi"/>
          <w:sz w:val="20"/>
          <w:szCs w:val="20"/>
          <w:lang w:val="en-GB" w:eastAsia="en-GB"/>
        </w:rPr>
        <w:t>nutrition and by extension other</w:t>
      </w:r>
      <w:r w:rsidR="00F945A7" w:rsidRPr="00183925">
        <w:rPr>
          <w:rFonts w:cstheme="minorHAnsi"/>
          <w:sz w:val="20"/>
          <w:szCs w:val="20"/>
          <w:lang w:val="en-GB" w:eastAsia="en-GB"/>
        </w:rPr>
        <w:t xml:space="preserve"> </w:t>
      </w:r>
      <w:r w:rsidR="00183925" w:rsidRPr="00183925">
        <w:rPr>
          <w:rFonts w:cstheme="minorHAnsi"/>
          <w:sz w:val="20"/>
          <w:szCs w:val="20"/>
          <w:lang w:val="en-GB" w:eastAsia="en-GB"/>
        </w:rPr>
        <w:t xml:space="preserve">services. </w:t>
      </w:r>
      <w:r w:rsidR="000C3715">
        <w:rPr>
          <w:rFonts w:cstheme="minorHAnsi"/>
          <w:sz w:val="20"/>
          <w:szCs w:val="20"/>
          <w:lang w:val="en-GB" w:eastAsia="en-GB"/>
        </w:rPr>
        <w:t xml:space="preserve">Word of mouth however does play a </w:t>
      </w:r>
      <w:r w:rsidR="000C3715" w:rsidRPr="00A55336">
        <w:rPr>
          <w:rFonts w:cstheme="minorHAnsi"/>
          <w:sz w:val="20"/>
          <w:szCs w:val="20"/>
          <w:lang w:val="en-GB" w:eastAsia="en-GB"/>
        </w:rPr>
        <w:t xml:space="preserve">role in where caretakers decide to seek services with some facilities, such as </w:t>
      </w:r>
      <w:r w:rsidR="006E2801">
        <w:rPr>
          <w:rFonts w:cstheme="minorHAnsi"/>
          <w:sz w:val="20"/>
          <w:szCs w:val="20"/>
          <w:lang w:val="en-GB" w:eastAsia="en-GB"/>
        </w:rPr>
        <w:t xml:space="preserve">Baraka </w:t>
      </w:r>
      <w:r w:rsidR="000C3715" w:rsidRPr="00A55336">
        <w:rPr>
          <w:rFonts w:cstheme="minorHAnsi"/>
          <w:sz w:val="20"/>
          <w:szCs w:val="20"/>
          <w:lang w:val="en-GB" w:eastAsia="en-GB"/>
        </w:rPr>
        <w:t xml:space="preserve">German </w:t>
      </w:r>
      <w:r w:rsidR="006E2801">
        <w:rPr>
          <w:rFonts w:cstheme="minorHAnsi"/>
          <w:sz w:val="20"/>
          <w:szCs w:val="20"/>
          <w:lang w:val="en-GB" w:eastAsia="en-GB"/>
        </w:rPr>
        <w:t>Doctors</w:t>
      </w:r>
      <w:r w:rsidR="000C3715" w:rsidRPr="00A55336">
        <w:rPr>
          <w:rFonts w:cstheme="minorHAnsi"/>
          <w:sz w:val="20"/>
          <w:szCs w:val="20"/>
          <w:lang w:val="en-GB" w:eastAsia="en-GB"/>
        </w:rPr>
        <w:t xml:space="preserve">, having a virtuous reputation so much so that they have to ration health services on a daily basis so that quality of care is not compromised.  Other facilities are considered not to be service-oriented. As one </w:t>
      </w:r>
      <w:r w:rsidR="00FE6B31">
        <w:rPr>
          <w:rFonts w:cstheme="minorHAnsi"/>
          <w:sz w:val="20"/>
          <w:szCs w:val="20"/>
          <w:lang w:val="en-GB" w:eastAsia="en-GB"/>
        </w:rPr>
        <w:t>caretaker</w:t>
      </w:r>
      <w:r w:rsidR="000C3715" w:rsidRPr="00A55336">
        <w:rPr>
          <w:rFonts w:cstheme="minorHAnsi"/>
          <w:sz w:val="20"/>
          <w:szCs w:val="20"/>
          <w:lang w:val="en-GB" w:eastAsia="en-GB"/>
        </w:rPr>
        <w:t xml:space="preserve"> noted, health workers do not have time to answer her questions and she never receives any useful information (Mother, </w:t>
      </w:r>
      <w:r w:rsidR="00465275" w:rsidRPr="00465275">
        <w:rPr>
          <w:rFonts w:cstheme="minorHAnsi"/>
          <w:sz w:val="20"/>
          <w:szCs w:val="20"/>
          <w:lang w:val="en-GB" w:eastAsia="en-GB"/>
        </w:rPr>
        <w:t xml:space="preserve">Health Centre </w:t>
      </w:r>
      <w:r w:rsidR="00465275">
        <w:rPr>
          <w:rFonts w:cstheme="minorHAnsi"/>
          <w:sz w:val="20"/>
          <w:szCs w:val="20"/>
          <w:lang w:val="en-GB" w:eastAsia="en-GB"/>
        </w:rPr>
        <w:t xml:space="preserve">in </w:t>
      </w:r>
      <w:proofErr w:type="spellStart"/>
      <w:r w:rsidR="000C3715" w:rsidRPr="00465275">
        <w:rPr>
          <w:rFonts w:cstheme="minorHAnsi"/>
          <w:sz w:val="20"/>
          <w:szCs w:val="20"/>
          <w:lang w:val="en-GB" w:eastAsia="en-GB"/>
        </w:rPr>
        <w:t>Makadara</w:t>
      </w:r>
      <w:proofErr w:type="spellEnd"/>
      <w:r w:rsidR="00465275" w:rsidRPr="00465275">
        <w:rPr>
          <w:rFonts w:cstheme="minorHAnsi"/>
          <w:sz w:val="20"/>
          <w:szCs w:val="20"/>
          <w:lang w:val="en-GB" w:eastAsia="en-GB"/>
        </w:rPr>
        <w:t xml:space="preserve"> Sub-County</w:t>
      </w:r>
      <w:r w:rsidR="000C3715" w:rsidRPr="00465275">
        <w:rPr>
          <w:rFonts w:cstheme="minorHAnsi"/>
          <w:sz w:val="20"/>
          <w:szCs w:val="20"/>
          <w:lang w:val="en-GB" w:eastAsia="en-GB"/>
        </w:rPr>
        <w:t>).</w:t>
      </w:r>
      <w:r w:rsidR="00FC4E78" w:rsidRPr="00465275">
        <w:rPr>
          <w:rFonts w:cstheme="minorHAnsi"/>
          <w:sz w:val="20"/>
          <w:szCs w:val="20"/>
          <w:lang w:val="en-GB" w:eastAsia="en-GB"/>
        </w:rPr>
        <w:t xml:space="preserve"> While</w:t>
      </w:r>
      <w:r w:rsidR="00FC4E78">
        <w:rPr>
          <w:rFonts w:cstheme="minorHAnsi"/>
          <w:sz w:val="20"/>
          <w:szCs w:val="20"/>
          <w:lang w:val="en-GB" w:eastAsia="en-GB"/>
        </w:rPr>
        <w:t xml:space="preserve"> most facilities visited were busy this should not be taken as an indicator of </w:t>
      </w:r>
      <w:r w:rsidR="0059524B">
        <w:rPr>
          <w:rFonts w:cstheme="minorHAnsi"/>
          <w:sz w:val="20"/>
          <w:szCs w:val="20"/>
          <w:lang w:val="en-GB" w:eastAsia="en-GB"/>
        </w:rPr>
        <w:t xml:space="preserve">good </w:t>
      </w:r>
      <w:r w:rsidR="00FC4E78">
        <w:rPr>
          <w:rFonts w:cstheme="minorHAnsi"/>
          <w:sz w:val="20"/>
          <w:szCs w:val="20"/>
          <w:lang w:val="en-GB" w:eastAsia="en-GB"/>
        </w:rPr>
        <w:t>performance.</w:t>
      </w:r>
    </w:p>
    <w:p w14:paraId="0B434011" w14:textId="03DF7C52" w:rsidR="00FC4E78" w:rsidRDefault="000216C7" w:rsidP="00FC4E78">
      <w:pPr>
        <w:spacing w:before="120"/>
        <w:rPr>
          <w:rFonts w:cstheme="minorHAnsi"/>
          <w:sz w:val="20"/>
          <w:szCs w:val="20"/>
          <w:lang w:val="en-GB" w:eastAsia="en-GB"/>
        </w:rPr>
      </w:pPr>
      <w:r w:rsidRPr="00183925">
        <w:rPr>
          <w:rFonts w:cstheme="minorHAnsi"/>
          <w:sz w:val="20"/>
          <w:szCs w:val="20"/>
          <w:u w:val="single"/>
          <w:lang w:val="en-GB" w:eastAsia="en-GB"/>
        </w:rPr>
        <w:t>Education</w:t>
      </w:r>
      <w:r w:rsidR="00FC4E78">
        <w:rPr>
          <w:rFonts w:cstheme="minorHAnsi"/>
          <w:sz w:val="20"/>
          <w:szCs w:val="20"/>
          <w:u w:val="single"/>
          <w:lang w:val="en-GB" w:eastAsia="en-GB"/>
        </w:rPr>
        <w:t>:</w:t>
      </w:r>
      <w:r w:rsidR="00FC4E78" w:rsidRPr="00FC4E78">
        <w:rPr>
          <w:rFonts w:cstheme="minorHAnsi"/>
          <w:sz w:val="20"/>
          <w:szCs w:val="20"/>
          <w:lang w:val="en-GB" w:eastAsia="en-GB"/>
        </w:rPr>
        <w:t xml:space="preserve"> </w:t>
      </w:r>
      <w:r w:rsidR="00FC4E78">
        <w:rPr>
          <w:rFonts w:cstheme="minorHAnsi"/>
          <w:sz w:val="20"/>
          <w:szCs w:val="20"/>
          <w:lang w:val="en-GB" w:eastAsia="en-GB"/>
        </w:rPr>
        <w:t xml:space="preserve"> It is recognised that caretaker education levels have a direct bearing on child nutrition status. These were not established as part of the caretaker interviews however it was noted that many of the mothers that were interviewed were young, often with their first child. They were in search of IYCF education and were motivated to attend MCH services to ensure that the</w:t>
      </w:r>
      <w:r w:rsidR="00850B09">
        <w:rPr>
          <w:rFonts w:cstheme="minorHAnsi"/>
          <w:sz w:val="20"/>
          <w:szCs w:val="20"/>
          <w:lang w:val="en-GB" w:eastAsia="en-GB"/>
        </w:rPr>
        <w:t>ir</w:t>
      </w:r>
      <w:r w:rsidR="00FC4E78">
        <w:rPr>
          <w:rFonts w:cstheme="minorHAnsi"/>
          <w:sz w:val="20"/>
          <w:szCs w:val="20"/>
          <w:lang w:val="en-GB" w:eastAsia="en-GB"/>
        </w:rPr>
        <w:t xml:space="preserve"> child was thriving. Health workers interviewed acknowledged that many mothers lacked knowledge on </w:t>
      </w:r>
      <w:r w:rsidR="00FC4E78" w:rsidRPr="006406A8">
        <w:rPr>
          <w:sz w:val="20"/>
          <w:szCs w:val="20"/>
        </w:rPr>
        <w:t>feeding practices</w:t>
      </w:r>
      <w:r w:rsidR="0059524B">
        <w:rPr>
          <w:sz w:val="20"/>
          <w:szCs w:val="20"/>
        </w:rPr>
        <w:t xml:space="preserve">, </w:t>
      </w:r>
      <w:r w:rsidR="00FC4E78">
        <w:rPr>
          <w:sz w:val="20"/>
          <w:szCs w:val="20"/>
        </w:rPr>
        <w:t>contribut</w:t>
      </w:r>
      <w:r w:rsidR="0059524B">
        <w:rPr>
          <w:sz w:val="20"/>
          <w:szCs w:val="20"/>
        </w:rPr>
        <w:t>ing</w:t>
      </w:r>
      <w:r w:rsidR="00FC4E78">
        <w:rPr>
          <w:sz w:val="20"/>
          <w:szCs w:val="20"/>
        </w:rPr>
        <w:t xml:space="preserve"> to sub optimal IYCF. Despite this, most health education is rote</w:t>
      </w:r>
      <w:r w:rsidR="0059524B">
        <w:rPr>
          <w:sz w:val="20"/>
          <w:szCs w:val="20"/>
        </w:rPr>
        <w:t xml:space="preserve"> and</w:t>
      </w:r>
      <w:r w:rsidR="00567F67">
        <w:rPr>
          <w:sz w:val="20"/>
          <w:szCs w:val="20"/>
        </w:rPr>
        <w:t xml:space="preserve"> there were few visible job aids to guide this exchange. As one Sub-County </w:t>
      </w:r>
      <w:r w:rsidR="0059524B">
        <w:rPr>
          <w:sz w:val="20"/>
          <w:szCs w:val="20"/>
        </w:rPr>
        <w:t>Medical Officer</w:t>
      </w:r>
      <w:r w:rsidR="00567F67">
        <w:rPr>
          <w:sz w:val="20"/>
          <w:szCs w:val="20"/>
        </w:rPr>
        <w:t xml:space="preserve"> noted, h</w:t>
      </w:r>
      <w:r w:rsidR="00567F67" w:rsidRPr="00567F67">
        <w:rPr>
          <w:sz w:val="20"/>
          <w:szCs w:val="20"/>
        </w:rPr>
        <w:t xml:space="preserve">ealth education needs to be </w:t>
      </w:r>
      <w:proofErr w:type="spellStart"/>
      <w:r w:rsidR="00567F67" w:rsidRPr="00567F67">
        <w:rPr>
          <w:sz w:val="20"/>
          <w:szCs w:val="20"/>
        </w:rPr>
        <w:t>contextualised</w:t>
      </w:r>
      <w:proofErr w:type="spellEnd"/>
      <w:r w:rsidR="00567F67" w:rsidRPr="00567F67">
        <w:rPr>
          <w:sz w:val="20"/>
          <w:szCs w:val="20"/>
        </w:rPr>
        <w:t xml:space="preserve"> to the caretaker’s situation</w:t>
      </w:r>
      <w:r w:rsidR="00567F67">
        <w:rPr>
          <w:sz w:val="20"/>
          <w:szCs w:val="20"/>
        </w:rPr>
        <w:t>, it</w:t>
      </w:r>
      <w:r w:rsidR="00567F67" w:rsidRPr="00567F67">
        <w:rPr>
          <w:sz w:val="20"/>
          <w:szCs w:val="20"/>
        </w:rPr>
        <w:t xml:space="preserve"> is </w:t>
      </w:r>
      <w:r w:rsidR="00567F67" w:rsidRPr="00567F67">
        <w:rPr>
          <w:i/>
          <w:sz w:val="20"/>
          <w:szCs w:val="20"/>
        </w:rPr>
        <w:t>“not a conversation that you can have in five minutes”</w:t>
      </w:r>
      <w:r w:rsidR="00567F67" w:rsidRPr="00567F67">
        <w:rPr>
          <w:sz w:val="20"/>
          <w:szCs w:val="20"/>
        </w:rPr>
        <w:t>.</w:t>
      </w:r>
      <w:r w:rsidR="00232084">
        <w:rPr>
          <w:sz w:val="20"/>
          <w:szCs w:val="20"/>
        </w:rPr>
        <w:t xml:space="preserve"> </w:t>
      </w:r>
    </w:p>
    <w:p w14:paraId="2DFD796F" w14:textId="1DCB9873" w:rsidR="000216C7" w:rsidRDefault="002B618A" w:rsidP="000216C7">
      <w:pPr>
        <w:pStyle w:val="Heading2"/>
        <w:spacing w:before="120" w:after="120"/>
        <w:rPr>
          <w:rFonts w:ascii="Arial" w:hAnsi="Arial" w:cs="Arial"/>
          <w:b/>
          <w:sz w:val="24"/>
          <w:szCs w:val="24"/>
          <w:lang w:val="en-GB" w:eastAsia="en-GB"/>
        </w:rPr>
      </w:pPr>
      <w:bookmarkStart w:id="26" w:name="_Toc428029667"/>
      <w:r>
        <w:rPr>
          <w:rFonts w:ascii="Arial" w:hAnsi="Arial" w:cs="Arial"/>
          <w:b/>
          <w:sz w:val="24"/>
          <w:szCs w:val="24"/>
          <w:lang w:val="en-GB" w:eastAsia="en-GB"/>
        </w:rPr>
        <w:t>4</w:t>
      </w:r>
      <w:r w:rsidR="00E8411E">
        <w:rPr>
          <w:rFonts w:ascii="Arial" w:hAnsi="Arial" w:cs="Arial"/>
          <w:b/>
          <w:sz w:val="24"/>
          <w:szCs w:val="24"/>
          <w:lang w:val="en-GB" w:eastAsia="en-GB"/>
        </w:rPr>
        <w:t xml:space="preserve">.3 </w:t>
      </w:r>
      <w:r w:rsidR="000216C7" w:rsidRPr="00EC7575">
        <w:rPr>
          <w:rFonts w:ascii="Arial" w:hAnsi="Arial" w:cs="Arial"/>
          <w:b/>
          <w:sz w:val="24"/>
          <w:szCs w:val="24"/>
          <w:lang w:val="en-GB" w:eastAsia="en-GB"/>
        </w:rPr>
        <w:t>A</w:t>
      </w:r>
      <w:r w:rsidR="000216C7">
        <w:rPr>
          <w:rFonts w:ascii="Arial" w:hAnsi="Arial" w:cs="Arial"/>
          <w:b/>
          <w:sz w:val="24"/>
          <w:szCs w:val="24"/>
          <w:lang w:val="en-GB" w:eastAsia="en-GB"/>
        </w:rPr>
        <w:t>ffordability</w:t>
      </w:r>
      <w:bookmarkEnd w:id="26"/>
    </w:p>
    <w:p w14:paraId="70286612" w14:textId="77777777" w:rsidR="000216C7" w:rsidRDefault="000216C7" w:rsidP="000216C7">
      <w:pPr>
        <w:pStyle w:val="Heading3"/>
        <w:spacing w:before="120" w:after="120"/>
        <w:rPr>
          <w:rFonts w:ascii="Arial" w:hAnsi="Arial" w:cs="Arial"/>
          <w:b/>
          <w:i/>
          <w:sz w:val="20"/>
          <w:szCs w:val="20"/>
          <w:lang w:val="en-GB" w:eastAsia="en-GB"/>
        </w:rPr>
      </w:pPr>
      <w:bookmarkStart w:id="27" w:name="_Toc425677345"/>
      <w:bookmarkStart w:id="28" w:name="_Toc425696936"/>
      <w:bookmarkStart w:id="29" w:name="_Toc426023534"/>
      <w:bookmarkStart w:id="30" w:name="_Toc428029668"/>
      <w:r w:rsidRPr="003A5BB0">
        <w:rPr>
          <w:rFonts w:ascii="Arial" w:hAnsi="Arial" w:cs="Arial"/>
          <w:b/>
          <w:i/>
          <w:sz w:val="20"/>
          <w:szCs w:val="20"/>
          <w:lang w:val="en-GB" w:eastAsia="en-GB"/>
        </w:rPr>
        <w:t>Supply-side</w:t>
      </w:r>
      <w:bookmarkEnd w:id="27"/>
      <w:bookmarkEnd w:id="28"/>
      <w:bookmarkEnd w:id="29"/>
      <w:bookmarkEnd w:id="30"/>
    </w:p>
    <w:p w14:paraId="58E0BD12" w14:textId="77777777" w:rsidR="000216C7" w:rsidRPr="00904434" w:rsidRDefault="000216C7" w:rsidP="00904434">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Costs and prices of services, including informal payments</w:t>
      </w:r>
      <w:r w:rsidR="00904434" w:rsidRPr="00904434">
        <w:rPr>
          <w:rFonts w:cstheme="minorHAnsi"/>
          <w:sz w:val="20"/>
          <w:szCs w:val="20"/>
          <w:lang w:val="en-GB" w:eastAsia="en-GB"/>
        </w:rPr>
        <w:t xml:space="preserve">: </w:t>
      </w:r>
      <w:r w:rsidR="00753FFA">
        <w:rPr>
          <w:rFonts w:cstheme="minorHAnsi"/>
          <w:sz w:val="20"/>
          <w:szCs w:val="20"/>
          <w:lang w:val="en-GB" w:eastAsia="en-GB"/>
        </w:rPr>
        <w:t>As services are free in the public health facilities and the cost minimal in FBO</w:t>
      </w:r>
      <w:r w:rsidR="00502FBB">
        <w:rPr>
          <w:rFonts w:cstheme="minorHAnsi"/>
          <w:sz w:val="20"/>
          <w:szCs w:val="20"/>
          <w:lang w:val="en-GB" w:eastAsia="en-GB"/>
        </w:rPr>
        <w:t>/NGO supported</w:t>
      </w:r>
      <w:r w:rsidR="00753FFA">
        <w:rPr>
          <w:rFonts w:cstheme="minorHAnsi"/>
          <w:sz w:val="20"/>
          <w:szCs w:val="20"/>
          <w:lang w:val="en-GB" w:eastAsia="en-GB"/>
        </w:rPr>
        <w:t xml:space="preserve"> clinics, this was not noted as a barrier to utilisation. Additionally, informal payments were also not mentioned. </w:t>
      </w:r>
      <w:r w:rsidR="00904434" w:rsidRPr="00904434">
        <w:rPr>
          <w:rFonts w:cstheme="minorHAnsi"/>
          <w:sz w:val="20"/>
          <w:szCs w:val="20"/>
          <w:lang w:val="en-GB" w:eastAsia="en-GB"/>
        </w:rPr>
        <w:t xml:space="preserve"> </w:t>
      </w:r>
    </w:p>
    <w:p w14:paraId="40C2312F" w14:textId="77777777" w:rsidR="000216C7" w:rsidRPr="00904434" w:rsidRDefault="000216C7" w:rsidP="00904434">
      <w:pPr>
        <w:spacing w:before="120"/>
        <w:rPr>
          <w:rFonts w:cstheme="minorHAnsi"/>
          <w:sz w:val="20"/>
          <w:szCs w:val="20"/>
          <w:lang w:val="en-GB" w:eastAsia="en-GB"/>
        </w:rPr>
      </w:pPr>
      <w:r w:rsidRPr="00183925">
        <w:rPr>
          <w:rFonts w:cstheme="minorHAnsi"/>
          <w:sz w:val="20"/>
          <w:szCs w:val="20"/>
          <w:u w:val="single"/>
          <w:lang w:val="en-GB" w:eastAsia="en-GB"/>
        </w:rPr>
        <w:t>Private-public dual practices</w:t>
      </w:r>
      <w:r w:rsidR="00904434" w:rsidRPr="00904434">
        <w:rPr>
          <w:rFonts w:cstheme="minorHAnsi"/>
          <w:sz w:val="20"/>
          <w:szCs w:val="20"/>
          <w:lang w:val="en-GB" w:eastAsia="en-GB"/>
        </w:rPr>
        <w:t xml:space="preserve">: </w:t>
      </w:r>
      <w:r w:rsidR="00753FFA">
        <w:rPr>
          <w:rFonts w:cstheme="minorHAnsi"/>
          <w:sz w:val="20"/>
          <w:szCs w:val="20"/>
          <w:lang w:val="en-GB" w:eastAsia="en-GB"/>
        </w:rPr>
        <w:t>Dual</w:t>
      </w:r>
      <w:r w:rsidR="00904434" w:rsidRPr="00904434">
        <w:rPr>
          <w:rFonts w:cstheme="minorHAnsi"/>
          <w:sz w:val="20"/>
          <w:szCs w:val="20"/>
          <w:lang w:val="en-GB" w:eastAsia="en-GB"/>
        </w:rPr>
        <w:t xml:space="preserve"> practice was not reported during </w:t>
      </w:r>
      <w:r w:rsidR="00904434">
        <w:rPr>
          <w:rFonts w:cstheme="minorHAnsi"/>
          <w:sz w:val="20"/>
          <w:szCs w:val="20"/>
          <w:lang w:val="en-GB" w:eastAsia="en-GB"/>
        </w:rPr>
        <w:t>the field work</w:t>
      </w:r>
      <w:r w:rsidR="00753FFA">
        <w:rPr>
          <w:rFonts w:cstheme="minorHAnsi"/>
          <w:sz w:val="20"/>
          <w:szCs w:val="20"/>
          <w:lang w:val="en-GB" w:eastAsia="en-GB"/>
        </w:rPr>
        <w:t xml:space="preserve"> although it is understood that the practice exists</w:t>
      </w:r>
      <w:r w:rsidR="00904434">
        <w:rPr>
          <w:rFonts w:cstheme="minorHAnsi"/>
          <w:sz w:val="20"/>
          <w:szCs w:val="20"/>
          <w:lang w:val="en-GB" w:eastAsia="en-GB"/>
        </w:rPr>
        <w:t xml:space="preserve">. Most health workers suggested that private-for-profit providers in their catchment areas were operating illegally and were not qualified to practice; </w:t>
      </w:r>
      <w:proofErr w:type="gramStart"/>
      <w:r w:rsidR="00904434">
        <w:rPr>
          <w:rFonts w:cstheme="minorHAnsi"/>
          <w:sz w:val="20"/>
          <w:szCs w:val="20"/>
          <w:lang w:val="en-GB" w:eastAsia="en-GB"/>
        </w:rPr>
        <w:t xml:space="preserve">this view was expressed despite the fact that the private sector is the predominant health care provider in the sub-counties visited, and considerably </w:t>
      </w:r>
      <w:r w:rsidR="00753FFA">
        <w:rPr>
          <w:rFonts w:cstheme="minorHAnsi"/>
          <w:sz w:val="20"/>
          <w:szCs w:val="20"/>
          <w:lang w:val="en-GB" w:eastAsia="en-GB"/>
        </w:rPr>
        <w:t>out-number</w:t>
      </w:r>
      <w:proofErr w:type="gramEnd"/>
      <w:r w:rsidR="00904434">
        <w:rPr>
          <w:rFonts w:cstheme="minorHAnsi"/>
          <w:sz w:val="20"/>
          <w:szCs w:val="20"/>
          <w:lang w:val="en-GB" w:eastAsia="en-GB"/>
        </w:rPr>
        <w:t xml:space="preserve"> public </w:t>
      </w:r>
      <w:r w:rsidR="00753FFA">
        <w:rPr>
          <w:rFonts w:cstheme="minorHAnsi"/>
          <w:sz w:val="20"/>
          <w:szCs w:val="20"/>
          <w:lang w:val="en-GB" w:eastAsia="en-GB"/>
        </w:rPr>
        <w:t>facilities</w:t>
      </w:r>
      <w:r w:rsidR="00904434">
        <w:rPr>
          <w:rFonts w:cstheme="minorHAnsi"/>
          <w:sz w:val="20"/>
          <w:szCs w:val="20"/>
          <w:lang w:val="en-GB" w:eastAsia="en-GB"/>
        </w:rPr>
        <w:t xml:space="preserve">. For example, in </w:t>
      </w:r>
      <w:r w:rsidR="009E6527">
        <w:rPr>
          <w:rFonts w:cstheme="minorHAnsi"/>
          <w:sz w:val="20"/>
          <w:szCs w:val="20"/>
          <w:lang w:val="en-GB" w:eastAsia="en-GB"/>
        </w:rPr>
        <w:t>Westlands</w:t>
      </w:r>
      <w:r w:rsidR="00904434">
        <w:rPr>
          <w:rFonts w:cstheme="minorHAnsi"/>
          <w:sz w:val="20"/>
          <w:szCs w:val="20"/>
          <w:lang w:val="en-GB" w:eastAsia="en-GB"/>
        </w:rPr>
        <w:t xml:space="preserve"> </w:t>
      </w:r>
      <w:r w:rsidR="0059524B">
        <w:rPr>
          <w:rFonts w:cstheme="minorHAnsi"/>
          <w:sz w:val="20"/>
          <w:szCs w:val="20"/>
          <w:lang w:val="en-GB" w:eastAsia="en-GB"/>
        </w:rPr>
        <w:t>S</w:t>
      </w:r>
      <w:r w:rsidR="00904434">
        <w:rPr>
          <w:rFonts w:cstheme="minorHAnsi"/>
          <w:sz w:val="20"/>
          <w:szCs w:val="20"/>
          <w:lang w:val="en-GB" w:eastAsia="en-GB"/>
        </w:rPr>
        <w:t>ub-</w:t>
      </w:r>
      <w:r w:rsidR="0059524B">
        <w:rPr>
          <w:rFonts w:cstheme="minorHAnsi"/>
          <w:sz w:val="20"/>
          <w:szCs w:val="20"/>
          <w:lang w:val="en-GB" w:eastAsia="en-GB"/>
        </w:rPr>
        <w:t>C</w:t>
      </w:r>
      <w:r w:rsidR="00904434">
        <w:rPr>
          <w:rFonts w:cstheme="minorHAnsi"/>
          <w:sz w:val="20"/>
          <w:szCs w:val="20"/>
          <w:lang w:val="en-GB" w:eastAsia="en-GB"/>
        </w:rPr>
        <w:t xml:space="preserve">ounty the </w:t>
      </w:r>
      <w:r w:rsidR="0059524B">
        <w:rPr>
          <w:rFonts w:cstheme="minorHAnsi"/>
          <w:sz w:val="20"/>
          <w:szCs w:val="20"/>
          <w:lang w:val="en-GB" w:eastAsia="en-GB"/>
        </w:rPr>
        <w:t xml:space="preserve">Medical Officer </w:t>
      </w:r>
      <w:r w:rsidR="00904434">
        <w:rPr>
          <w:rFonts w:cstheme="minorHAnsi"/>
          <w:sz w:val="20"/>
          <w:szCs w:val="20"/>
          <w:lang w:val="en-GB" w:eastAsia="en-GB"/>
        </w:rPr>
        <w:t xml:space="preserve">reports that there are </w:t>
      </w:r>
      <w:r w:rsidR="009E6527">
        <w:rPr>
          <w:rFonts w:cstheme="minorHAnsi"/>
          <w:sz w:val="20"/>
          <w:szCs w:val="20"/>
          <w:lang w:val="en-GB" w:eastAsia="en-GB"/>
        </w:rPr>
        <w:t>65</w:t>
      </w:r>
      <w:r w:rsidR="00904434">
        <w:rPr>
          <w:rFonts w:cstheme="minorHAnsi"/>
          <w:sz w:val="20"/>
          <w:szCs w:val="20"/>
          <w:lang w:val="en-GB" w:eastAsia="en-GB"/>
        </w:rPr>
        <w:t xml:space="preserve"> registered health facilities </w:t>
      </w:r>
      <w:r w:rsidR="009E6527">
        <w:rPr>
          <w:rFonts w:cstheme="minorHAnsi"/>
          <w:sz w:val="20"/>
          <w:szCs w:val="20"/>
          <w:lang w:val="en-GB" w:eastAsia="en-GB"/>
        </w:rPr>
        <w:t xml:space="preserve">of which only seven are public; similarly in </w:t>
      </w:r>
      <w:proofErr w:type="spellStart"/>
      <w:r w:rsidR="00116F85">
        <w:rPr>
          <w:rFonts w:cstheme="minorHAnsi"/>
          <w:sz w:val="20"/>
          <w:szCs w:val="20"/>
          <w:lang w:val="en-GB" w:eastAsia="en-GB"/>
        </w:rPr>
        <w:t>Embakasi</w:t>
      </w:r>
      <w:proofErr w:type="spellEnd"/>
      <w:r w:rsidR="00116F85">
        <w:rPr>
          <w:rFonts w:cstheme="minorHAnsi"/>
          <w:sz w:val="20"/>
          <w:szCs w:val="20"/>
          <w:lang w:val="en-GB" w:eastAsia="en-GB"/>
        </w:rPr>
        <w:t xml:space="preserve"> </w:t>
      </w:r>
      <w:r w:rsidR="0059524B">
        <w:rPr>
          <w:rFonts w:cstheme="minorHAnsi"/>
          <w:sz w:val="20"/>
          <w:szCs w:val="20"/>
          <w:lang w:val="en-GB" w:eastAsia="en-GB"/>
        </w:rPr>
        <w:t>S</w:t>
      </w:r>
      <w:r w:rsidR="00116F85">
        <w:rPr>
          <w:rFonts w:cstheme="minorHAnsi"/>
          <w:sz w:val="20"/>
          <w:szCs w:val="20"/>
          <w:lang w:val="en-GB" w:eastAsia="en-GB"/>
        </w:rPr>
        <w:t>ub-</w:t>
      </w:r>
      <w:r w:rsidR="0059524B">
        <w:rPr>
          <w:rFonts w:cstheme="minorHAnsi"/>
          <w:sz w:val="20"/>
          <w:szCs w:val="20"/>
          <w:lang w:val="en-GB" w:eastAsia="en-GB"/>
        </w:rPr>
        <w:t>C</w:t>
      </w:r>
      <w:r w:rsidR="00116F85">
        <w:rPr>
          <w:rFonts w:cstheme="minorHAnsi"/>
          <w:sz w:val="20"/>
          <w:szCs w:val="20"/>
          <w:lang w:val="en-GB" w:eastAsia="en-GB"/>
        </w:rPr>
        <w:t xml:space="preserve">ounty, there are 120 private health facilities as </w:t>
      </w:r>
      <w:r w:rsidR="00904434">
        <w:rPr>
          <w:rFonts w:cstheme="minorHAnsi"/>
          <w:sz w:val="20"/>
          <w:szCs w:val="20"/>
          <w:lang w:val="en-GB" w:eastAsia="en-GB"/>
        </w:rPr>
        <w:t xml:space="preserve">compared to </w:t>
      </w:r>
      <w:r w:rsidR="00116F85">
        <w:rPr>
          <w:rFonts w:cstheme="minorHAnsi"/>
          <w:sz w:val="20"/>
          <w:szCs w:val="20"/>
          <w:lang w:val="en-GB" w:eastAsia="en-GB"/>
        </w:rPr>
        <w:t>12</w:t>
      </w:r>
      <w:r w:rsidR="00904434">
        <w:rPr>
          <w:rFonts w:cstheme="minorHAnsi"/>
          <w:sz w:val="20"/>
          <w:szCs w:val="20"/>
          <w:lang w:val="en-GB" w:eastAsia="en-GB"/>
        </w:rPr>
        <w:t xml:space="preserve"> public </w:t>
      </w:r>
      <w:r w:rsidR="00904434" w:rsidRPr="002B618A">
        <w:rPr>
          <w:rFonts w:cstheme="minorHAnsi"/>
          <w:sz w:val="20"/>
          <w:szCs w:val="20"/>
          <w:lang w:val="en-GB" w:eastAsia="en-GB"/>
        </w:rPr>
        <w:t>facilities</w:t>
      </w:r>
      <w:r w:rsidR="00116F85" w:rsidRPr="002B618A">
        <w:rPr>
          <w:rFonts w:cstheme="minorHAnsi"/>
          <w:sz w:val="20"/>
          <w:szCs w:val="20"/>
          <w:lang w:val="en-GB" w:eastAsia="en-GB"/>
        </w:rPr>
        <w:t xml:space="preserve">. There appears to be very little engagement </w:t>
      </w:r>
      <w:r w:rsidR="00BE6FA3" w:rsidRPr="002B618A">
        <w:rPr>
          <w:rFonts w:cstheme="minorHAnsi"/>
          <w:sz w:val="20"/>
          <w:szCs w:val="20"/>
          <w:lang w:val="en-GB" w:eastAsia="en-GB"/>
        </w:rPr>
        <w:t>with</w:t>
      </w:r>
      <w:r w:rsidR="00116F85" w:rsidRPr="002B618A">
        <w:rPr>
          <w:rFonts w:cstheme="minorHAnsi"/>
          <w:sz w:val="20"/>
          <w:szCs w:val="20"/>
          <w:lang w:val="en-GB" w:eastAsia="en-GB"/>
        </w:rPr>
        <w:t xml:space="preserve"> private practices</w:t>
      </w:r>
      <w:r w:rsidR="00F52CAD" w:rsidRPr="002B618A">
        <w:rPr>
          <w:rStyle w:val="FootnoteReference"/>
          <w:rFonts w:cstheme="minorHAnsi"/>
          <w:sz w:val="20"/>
          <w:szCs w:val="20"/>
          <w:lang w:val="en-GB" w:eastAsia="en-GB"/>
        </w:rPr>
        <w:footnoteReference w:id="6"/>
      </w:r>
      <w:r w:rsidR="00BE6FA3" w:rsidRPr="002B618A">
        <w:rPr>
          <w:rFonts w:cstheme="minorHAnsi"/>
          <w:sz w:val="20"/>
          <w:szCs w:val="20"/>
          <w:lang w:val="en-GB" w:eastAsia="en-GB"/>
        </w:rPr>
        <w:t>.</w:t>
      </w:r>
      <w:r w:rsidR="00116F85" w:rsidRPr="002B618A">
        <w:rPr>
          <w:rFonts w:cstheme="minorHAnsi"/>
          <w:sz w:val="20"/>
          <w:szCs w:val="20"/>
          <w:lang w:val="en-GB" w:eastAsia="en-GB"/>
        </w:rPr>
        <w:t xml:space="preserve"> </w:t>
      </w:r>
    </w:p>
    <w:p w14:paraId="74E5A326" w14:textId="77777777" w:rsidR="000216C7" w:rsidRPr="003A5BB0" w:rsidRDefault="000216C7" w:rsidP="000216C7">
      <w:pPr>
        <w:pStyle w:val="Heading3"/>
        <w:spacing w:before="120" w:after="120"/>
        <w:rPr>
          <w:rFonts w:ascii="Arial" w:hAnsi="Arial" w:cs="Arial"/>
          <w:b/>
          <w:i/>
          <w:sz w:val="20"/>
          <w:szCs w:val="20"/>
          <w:lang w:val="en-GB" w:eastAsia="en-GB"/>
        </w:rPr>
      </w:pPr>
      <w:bookmarkStart w:id="31" w:name="_Toc425677346"/>
      <w:bookmarkStart w:id="32" w:name="_Toc425696937"/>
      <w:bookmarkStart w:id="33" w:name="_Toc426023535"/>
      <w:bookmarkStart w:id="34" w:name="_Toc428029669"/>
      <w:r w:rsidRPr="003A5BB0">
        <w:rPr>
          <w:rFonts w:ascii="Arial" w:hAnsi="Arial" w:cs="Arial"/>
          <w:b/>
          <w:i/>
          <w:sz w:val="20"/>
          <w:szCs w:val="20"/>
          <w:lang w:val="en-GB" w:eastAsia="en-GB"/>
        </w:rPr>
        <w:t>Demand-side</w:t>
      </w:r>
      <w:bookmarkEnd w:id="31"/>
      <w:bookmarkEnd w:id="32"/>
      <w:bookmarkEnd w:id="33"/>
      <w:bookmarkEnd w:id="34"/>
    </w:p>
    <w:p w14:paraId="28B0E929" w14:textId="77777777" w:rsidR="000216C7" w:rsidRPr="00753FFA" w:rsidRDefault="000216C7" w:rsidP="00904434">
      <w:pPr>
        <w:spacing w:before="120"/>
        <w:rPr>
          <w:rFonts w:cstheme="minorHAnsi"/>
          <w:sz w:val="20"/>
          <w:szCs w:val="20"/>
          <w:lang w:val="en-GB" w:eastAsia="en-GB"/>
        </w:rPr>
      </w:pPr>
      <w:r w:rsidRPr="00183925">
        <w:rPr>
          <w:rFonts w:cstheme="minorHAnsi"/>
          <w:sz w:val="20"/>
          <w:szCs w:val="20"/>
          <w:u w:val="single"/>
          <w:lang w:val="en-GB" w:eastAsia="en-GB"/>
        </w:rPr>
        <w:t>Household resources and willingness to pay</w:t>
      </w:r>
      <w:r w:rsidR="00753FFA" w:rsidRPr="00753FFA">
        <w:rPr>
          <w:rFonts w:cstheme="minorHAnsi"/>
          <w:sz w:val="20"/>
          <w:szCs w:val="20"/>
          <w:lang w:val="en-GB" w:eastAsia="en-GB"/>
        </w:rPr>
        <w:t>: The health facilities selected for this review all serve informal settlements</w:t>
      </w:r>
      <w:r w:rsidR="00753FFA">
        <w:rPr>
          <w:rFonts w:cstheme="minorHAnsi"/>
          <w:sz w:val="20"/>
          <w:szCs w:val="20"/>
          <w:lang w:val="en-GB" w:eastAsia="en-GB"/>
        </w:rPr>
        <w:t xml:space="preserve">. In these settlements, household resources are extremely limited and poverty is often cited as a reason for poor nutritional status. This also contributes to poor caring practices particularly when mothers are required to leave their children for significant periods of time, often in the hands of informal day care centres. </w:t>
      </w:r>
      <w:r w:rsidR="00FE6B31">
        <w:rPr>
          <w:rFonts w:cstheme="minorHAnsi"/>
          <w:sz w:val="20"/>
          <w:szCs w:val="20"/>
          <w:lang w:val="en-GB" w:eastAsia="en-GB"/>
        </w:rPr>
        <w:t xml:space="preserve">As services are free in the public health facilities and highly subsidized in FBO facilities, willingness-to-pay was not cited as a barrier. </w:t>
      </w:r>
    </w:p>
    <w:p w14:paraId="25ED8337" w14:textId="77777777" w:rsidR="007E200B" w:rsidRDefault="000216C7" w:rsidP="00904434">
      <w:pPr>
        <w:spacing w:before="120"/>
        <w:rPr>
          <w:rFonts w:cstheme="minorHAnsi"/>
          <w:sz w:val="20"/>
          <w:szCs w:val="20"/>
          <w:lang w:val="en-GB" w:eastAsia="en-GB"/>
        </w:rPr>
      </w:pPr>
      <w:r w:rsidRPr="00183925">
        <w:rPr>
          <w:rFonts w:cstheme="minorHAnsi"/>
          <w:sz w:val="20"/>
          <w:szCs w:val="20"/>
          <w:u w:val="single"/>
          <w:lang w:val="en-GB" w:eastAsia="en-GB"/>
        </w:rPr>
        <w:lastRenderedPageBreak/>
        <w:t>Opportunity costs</w:t>
      </w:r>
      <w:r w:rsidR="00183925" w:rsidRPr="00183925">
        <w:rPr>
          <w:rFonts w:cstheme="minorHAnsi"/>
          <w:sz w:val="20"/>
          <w:szCs w:val="20"/>
          <w:lang w:val="en-GB" w:eastAsia="en-GB"/>
        </w:rPr>
        <w:t>: Opportunit</w:t>
      </w:r>
      <w:r w:rsidR="00BE6FA3">
        <w:rPr>
          <w:rFonts w:cstheme="minorHAnsi"/>
          <w:sz w:val="20"/>
          <w:szCs w:val="20"/>
          <w:lang w:val="en-GB" w:eastAsia="en-GB"/>
        </w:rPr>
        <w:t>y</w:t>
      </w:r>
      <w:r w:rsidR="00183925" w:rsidRPr="00183925">
        <w:rPr>
          <w:rFonts w:cstheme="minorHAnsi"/>
          <w:sz w:val="20"/>
          <w:szCs w:val="20"/>
          <w:lang w:val="en-GB" w:eastAsia="en-GB"/>
        </w:rPr>
        <w:t xml:space="preserve"> costs are a significant barrier to </w:t>
      </w:r>
      <w:r w:rsidR="00753FFA">
        <w:rPr>
          <w:rFonts w:cstheme="minorHAnsi"/>
          <w:sz w:val="20"/>
          <w:szCs w:val="20"/>
          <w:lang w:val="en-GB" w:eastAsia="en-GB"/>
        </w:rPr>
        <w:t xml:space="preserve">the </w:t>
      </w:r>
      <w:r w:rsidR="00183925" w:rsidRPr="00183925">
        <w:rPr>
          <w:rFonts w:cstheme="minorHAnsi"/>
          <w:sz w:val="20"/>
          <w:szCs w:val="20"/>
          <w:lang w:val="en-GB" w:eastAsia="en-GB"/>
        </w:rPr>
        <w:t xml:space="preserve">utilisation of MCH services. </w:t>
      </w:r>
      <w:r w:rsidR="00BC2FF4">
        <w:rPr>
          <w:rFonts w:cstheme="minorHAnsi"/>
          <w:sz w:val="20"/>
          <w:szCs w:val="20"/>
          <w:lang w:val="en-GB" w:eastAsia="en-GB"/>
        </w:rPr>
        <w:t>Most</w:t>
      </w:r>
      <w:r w:rsidR="00183925" w:rsidRPr="00183925">
        <w:rPr>
          <w:rFonts w:cstheme="minorHAnsi"/>
          <w:sz w:val="20"/>
          <w:szCs w:val="20"/>
          <w:lang w:val="en-GB" w:eastAsia="en-GB"/>
        </w:rPr>
        <w:t xml:space="preserve"> women </w:t>
      </w:r>
      <w:r w:rsidR="00183925">
        <w:rPr>
          <w:rFonts w:cstheme="minorHAnsi"/>
          <w:sz w:val="20"/>
          <w:szCs w:val="20"/>
          <w:lang w:val="en-GB" w:eastAsia="en-GB"/>
        </w:rPr>
        <w:t xml:space="preserve">who </w:t>
      </w:r>
      <w:r w:rsidR="00183925" w:rsidRPr="00183925">
        <w:rPr>
          <w:rFonts w:cstheme="minorHAnsi"/>
          <w:sz w:val="20"/>
          <w:szCs w:val="20"/>
          <w:lang w:val="en-GB" w:eastAsia="en-GB"/>
        </w:rPr>
        <w:t>attend</w:t>
      </w:r>
      <w:r w:rsidR="00183925">
        <w:rPr>
          <w:rFonts w:cstheme="minorHAnsi"/>
          <w:sz w:val="20"/>
          <w:szCs w:val="20"/>
          <w:lang w:val="en-GB" w:eastAsia="en-GB"/>
        </w:rPr>
        <w:t xml:space="preserve"> the MCH clinic</w:t>
      </w:r>
      <w:r w:rsidR="00BC2FF4">
        <w:rPr>
          <w:rFonts w:cstheme="minorHAnsi"/>
          <w:sz w:val="20"/>
          <w:szCs w:val="20"/>
          <w:lang w:val="en-GB" w:eastAsia="en-GB"/>
        </w:rPr>
        <w:t>s</w:t>
      </w:r>
      <w:r w:rsidR="00183925">
        <w:rPr>
          <w:rFonts w:cstheme="minorHAnsi"/>
          <w:sz w:val="20"/>
          <w:szCs w:val="20"/>
          <w:lang w:val="en-GB" w:eastAsia="en-GB"/>
        </w:rPr>
        <w:t xml:space="preserve"> work, whether this is casually (e.g. day labourer</w:t>
      </w:r>
      <w:r w:rsidR="00753FFA">
        <w:rPr>
          <w:rFonts w:cstheme="minorHAnsi"/>
          <w:sz w:val="20"/>
          <w:szCs w:val="20"/>
          <w:lang w:val="en-GB" w:eastAsia="en-GB"/>
        </w:rPr>
        <w:t>, house help</w:t>
      </w:r>
      <w:r w:rsidR="00183925">
        <w:rPr>
          <w:rFonts w:cstheme="minorHAnsi"/>
          <w:sz w:val="20"/>
          <w:szCs w:val="20"/>
          <w:lang w:val="en-GB" w:eastAsia="en-GB"/>
        </w:rPr>
        <w:t>), through self-employment (</w:t>
      </w:r>
      <w:r w:rsidR="00753FFA">
        <w:rPr>
          <w:rFonts w:cstheme="minorHAnsi"/>
          <w:sz w:val="20"/>
          <w:szCs w:val="20"/>
          <w:lang w:val="en-GB" w:eastAsia="en-GB"/>
        </w:rPr>
        <w:t xml:space="preserve">e.g. </w:t>
      </w:r>
      <w:r w:rsidR="00183925">
        <w:rPr>
          <w:rFonts w:cstheme="minorHAnsi"/>
          <w:sz w:val="20"/>
          <w:szCs w:val="20"/>
          <w:lang w:val="en-GB" w:eastAsia="en-GB"/>
        </w:rPr>
        <w:t xml:space="preserve">market vendor), </w:t>
      </w:r>
      <w:r w:rsidR="00BC2FF4">
        <w:rPr>
          <w:rFonts w:cstheme="minorHAnsi"/>
          <w:sz w:val="20"/>
          <w:szCs w:val="20"/>
          <w:lang w:val="en-GB" w:eastAsia="en-GB"/>
        </w:rPr>
        <w:t xml:space="preserve">as housewives, </w:t>
      </w:r>
      <w:r w:rsidR="00183925">
        <w:rPr>
          <w:rFonts w:cstheme="minorHAnsi"/>
          <w:sz w:val="20"/>
          <w:szCs w:val="20"/>
          <w:lang w:val="en-GB" w:eastAsia="en-GB"/>
        </w:rPr>
        <w:t>or under formal employment arrangements</w:t>
      </w:r>
      <w:r w:rsidR="00753FFA">
        <w:rPr>
          <w:rFonts w:cstheme="minorHAnsi"/>
          <w:sz w:val="20"/>
          <w:szCs w:val="20"/>
          <w:lang w:val="en-GB" w:eastAsia="en-GB"/>
        </w:rPr>
        <w:t xml:space="preserve"> (e.g. factories)</w:t>
      </w:r>
      <w:r w:rsidR="00183925">
        <w:rPr>
          <w:rFonts w:cstheme="minorHAnsi"/>
          <w:sz w:val="20"/>
          <w:szCs w:val="20"/>
          <w:lang w:val="en-GB" w:eastAsia="en-GB"/>
        </w:rPr>
        <w:t xml:space="preserve">. In most instances, time taken to attend the MCH clinic, is done </w:t>
      </w:r>
      <w:r w:rsidR="00904434">
        <w:rPr>
          <w:rFonts w:cstheme="minorHAnsi"/>
          <w:sz w:val="20"/>
          <w:szCs w:val="20"/>
          <w:lang w:val="en-GB" w:eastAsia="en-GB"/>
        </w:rPr>
        <w:t>at the expense of an income for that day</w:t>
      </w:r>
      <w:r w:rsidR="00BC2FF4">
        <w:rPr>
          <w:rFonts w:cstheme="minorHAnsi"/>
          <w:sz w:val="20"/>
          <w:szCs w:val="20"/>
          <w:lang w:val="en-GB" w:eastAsia="en-GB"/>
        </w:rPr>
        <w:t xml:space="preserve"> or the needs of the household, including other children. </w:t>
      </w:r>
      <w:r w:rsidR="007E200B">
        <w:rPr>
          <w:rFonts w:cstheme="minorHAnsi"/>
          <w:sz w:val="20"/>
          <w:szCs w:val="20"/>
          <w:lang w:val="en-GB" w:eastAsia="en-GB"/>
        </w:rPr>
        <w:t xml:space="preserve">Some </w:t>
      </w:r>
      <w:r w:rsidR="00753FFA">
        <w:rPr>
          <w:rFonts w:cstheme="minorHAnsi"/>
          <w:sz w:val="20"/>
          <w:szCs w:val="20"/>
          <w:lang w:val="en-GB" w:eastAsia="en-GB"/>
        </w:rPr>
        <w:t>employers</w:t>
      </w:r>
      <w:r w:rsidR="007E200B">
        <w:rPr>
          <w:rFonts w:cstheme="minorHAnsi"/>
          <w:sz w:val="20"/>
          <w:szCs w:val="20"/>
          <w:lang w:val="en-GB" w:eastAsia="en-GB"/>
        </w:rPr>
        <w:t xml:space="preserve"> respect health rights and allow </w:t>
      </w:r>
      <w:r w:rsidR="00753FFA">
        <w:rPr>
          <w:rFonts w:cstheme="minorHAnsi"/>
          <w:sz w:val="20"/>
          <w:szCs w:val="20"/>
          <w:lang w:val="en-GB" w:eastAsia="en-GB"/>
        </w:rPr>
        <w:t>caretakers</w:t>
      </w:r>
      <w:r w:rsidR="007E200B">
        <w:rPr>
          <w:rFonts w:cstheme="minorHAnsi"/>
          <w:sz w:val="20"/>
          <w:szCs w:val="20"/>
          <w:lang w:val="en-GB" w:eastAsia="en-GB"/>
        </w:rPr>
        <w:t xml:space="preserve"> time </w:t>
      </w:r>
      <w:r w:rsidR="00753FFA">
        <w:rPr>
          <w:rFonts w:cstheme="minorHAnsi"/>
          <w:sz w:val="20"/>
          <w:szCs w:val="20"/>
          <w:lang w:val="en-GB" w:eastAsia="en-GB"/>
        </w:rPr>
        <w:t xml:space="preserve">off </w:t>
      </w:r>
      <w:r w:rsidR="007E200B">
        <w:rPr>
          <w:rFonts w:cstheme="minorHAnsi"/>
          <w:sz w:val="20"/>
          <w:szCs w:val="20"/>
          <w:lang w:val="en-GB" w:eastAsia="en-GB"/>
        </w:rPr>
        <w:t xml:space="preserve">to attend MCH </w:t>
      </w:r>
      <w:proofErr w:type="gramStart"/>
      <w:r w:rsidR="007E200B">
        <w:rPr>
          <w:rFonts w:cstheme="minorHAnsi"/>
          <w:sz w:val="20"/>
          <w:szCs w:val="20"/>
          <w:lang w:val="en-GB" w:eastAsia="en-GB"/>
        </w:rPr>
        <w:t>clinics,</w:t>
      </w:r>
      <w:proofErr w:type="gramEnd"/>
      <w:r w:rsidR="007E200B">
        <w:rPr>
          <w:rFonts w:cstheme="minorHAnsi"/>
          <w:sz w:val="20"/>
          <w:szCs w:val="20"/>
          <w:lang w:val="en-GB" w:eastAsia="en-GB"/>
        </w:rPr>
        <w:t xml:space="preserve"> provided they can demonstrate attendance, but this was mentioned rarel</w:t>
      </w:r>
      <w:r w:rsidR="00FE6B31">
        <w:rPr>
          <w:rFonts w:cstheme="minorHAnsi"/>
          <w:sz w:val="20"/>
          <w:szCs w:val="20"/>
          <w:lang w:val="en-GB" w:eastAsia="en-GB"/>
        </w:rPr>
        <w:t>y</w:t>
      </w:r>
      <w:r w:rsidR="00B642FE">
        <w:rPr>
          <w:rStyle w:val="FootnoteReference"/>
          <w:rFonts w:cstheme="minorHAnsi"/>
          <w:sz w:val="20"/>
          <w:szCs w:val="20"/>
          <w:lang w:val="en-GB" w:eastAsia="en-GB"/>
        </w:rPr>
        <w:footnoteReference w:id="7"/>
      </w:r>
      <w:r w:rsidR="00B642FE">
        <w:rPr>
          <w:rFonts w:cstheme="minorHAnsi"/>
          <w:sz w:val="20"/>
          <w:szCs w:val="20"/>
          <w:lang w:val="en-GB" w:eastAsia="en-GB"/>
        </w:rPr>
        <w:t xml:space="preserve">. </w:t>
      </w:r>
    </w:p>
    <w:p w14:paraId="23CFAD19" w14:textId="2FB04BDD" w:rsidR="000216C7" w:rsidRDefault="000216C7" w:rsidP="00904434">
      <w:pPr>
        <w:spacing w:before="120"/>
        <w:rPr>
          <w:rFonts w:cstheme="minorHAnsi"/>
          <w:sz w:val="20"/>
          <w:szCs w:val="20"/>
          <w:lang w:val="en-GB" w:eastAsia="en-GB"/>
        </w:rPr>
      </w:pPr>
      <w:r w:rsidRPr="00183925">
        <w:rPr>
          <w:rFonts w:cstheme="minorHAnsi"/>
          <w:sz w:val="20"/>
          <w:szCs w:val="20"/>
          <w:u w:val="single"/>
          <w:lang w:val="en-GB" w:eastAsia="en-GB"/>
        </w:rPr>
        <w:t>Cash flow within society</w:t>
      </w:r>
      <w:r w:rsidR="00904434" w:rsidRPr="00753FFA">
        <w:rPr>
          <w:rFonts w:cstheme="minorHAnsi"/>
          <w:sz w:val="20"/>
          <w:szCs w:val="20"/>
          <w:lang w:val="en-GB" w:eastAsia="en-GB"/>
        </w:rPr>
        <w:t xml:space="preserve">: </w:t>
      </w:r>
      <w:r w:rsidR="00753FFA">
        <w:rPr>
          <w:rFonts w:cstheme="minorHAnsi"/>
          <w:sz w:val="20"/>
          <w:szCs w:val="20"/>
          <w:lang w:val="en-GB" w:eastAsia="en-GB"/>
        </w:rPr>
        <w:t xml:space="preserve"> Given the high poverty levels found within the catchment areas of the h</w:t>
      </w:r>
      <w:r w:rsidR="00904434">
        <w:rPr>
          <w:rFonts w:cstheme="minorHAnsi"/>
          <w:sz w:val="20"/>
          <w:szCs w:val="20"/>
          <w:lang w:val="en-GB" w:eastAsia="en-GB"/>
        </w:rPr>
        <w:t>ealth facilities visited</w:t>
      </w:r>
      <w:r w:rsidR="00753FFA">
        <w:rPr>
          <w:rFonts w:cstheme="minorHAnsi"/>
          <w:sz w:val="20"/>
          <w:szCs w:val="20"/>
          <w:lang w:val="en-GB" w:eastAsia="en-GB"/>
        </w:rPr>
        <w:t xml:space="preserve">, nutrition commodities </w:t>
      </w:r>
      <w:r w:rsidR="00753FFA" w:rsidRPr="00A55336">
        <w:rPr>
          <w:rFonts w:cstheme="minorHAnsi"/>
          <w:sz w:val="20"/>
          <w:szCs w:val="20"/>
          <w:lang w:val="en-GB" w:eastAsia="en-GB"/>
        </w:rPr>
        <w:t>are sometimes sold, and</w:t>
      </w:r>
      <w:r w:rsidR="00753FFA">
        <w:rPr>
          <w:rFonts w:cstheme="minorHAnsi"/>
          <w:sz w:val="20"/>
          <w:szCs w:val="20"/>
          <w:lang w:val="en-GB" w:eastAsia="en-GB"/>
        </w:rPr>
        <w:t xml:space="preserve"> often shared with other household members. </w:t>
      </w:r>
      <w:r w:rsidR="002B618A">
        <w:rPr>
          <w:rFonts w:cstheme="minorHAnsi"/>
          <w:sz w:val="20"/>
          <w:szCs w:val="20"/>
          <w:lang w:val="en-GB" w:eastAsia="en-GB"/>
        </w:rPr>
        <w:t>The</w:t>
      </w:r>
      <w:r w:rsidR="00227A93">
        <w:rPr>
          <w:rFonts w:cstheme="minorHAnsi"/>
          <w:sz w:val="20"/>
          <w:szCs w:val="20"/>
          <w:lang w:val="en-GB" w:eastAsia="en-GB"/>
        </w:rPr>
        <w:t>r</w:t>
      </w:r>
      <w:r w:rsidR="002B618A">
        <w:rPr>
          <w:rFonts w:cstheme="minorHAnsi"/>
          <w:sz w:val="20"/>
          <w:szCs w:val="20"/>
          <w:lang w:val="en-GB" w:eastAsia="en-GB"/>
        </w:rPr>
        <w:t xml:space="preserve">e is limited ability to purchase nutritious foods for children exposing them to poor nutrition and common infections. </w:t>
      </w:r>
      <w:r w:rsidR="00A0610F">
        <w:rPr>
          <w:rFonts w:cstheme="minorHAnsi"/>
          <w:sz w:val="20"/>
          <w:szCs w:val="20"/>
          <w:lang w:val="en-GB" w:eastAsia="en-GB"/>
        </w:rPr>
        <w:t xml:space="preserve"> </w:t>
      </w:r>
    </w:p>
    <w:p w14:paraId="713062EF" w14:textId="164695F3" w:rsidR="000216C7" w:rsidRPr="000216C7" w:rsidRDefault="002B618A" w:rsidP="000216C7">
      <w:pPr>
        <w:pStyle w:val="Heading2"/>
        <w:spacing w:before="120" w:after="120"/>
        <w:rPr>
          <w:rFonts w:ascii="Arial" w:hAnsi="Arial" w:cs="Arial"/>
          <w:b/>
          <w:sz w:val="24"/>
          <w:szCs w:val="24"/>
          <w:lang w:val="en-GB" w:eastAsia="en-GB"/>
        </w:rPr>
      </w:pPr>
      <w:bookmarkStart w:id="35" w:name="_Toc428029670"/>
      <w:r>
        <w:rPr>
          <w:rFonts w:ascii="Arial" w:hAnsi="Arial" w:cs="Arial"/>
          <w:b/>
          <w:sz w:val="24"/>
          <w:szCs w:val="24"/>
          <w:lang w:val="en-GB" w:eastAsia="en-GB"/>
        </w:rPr>
        <w:t>4</w:t>
      </w:r>
      <w:r w:rsidR="00E8411E">
        <w:rPr>
          <w:rFonts w:ascii="Arial" w:hAnsi="Arial" w:cs="Arial"/>
          <w:b/>
          <w:sz w:val="24"/>
          <w:szCs w:val="24"/>
          <w:lang w:val="en-GB" w:eastAsia="en-GB"/>
        </w:rPr>
        <w:t xml:space="preserve">.4 </w:t>
      </w:r>
      <w:r w:rsidR="000216C7" w:rsidRPr="000216C7">
        <w:rPr>
          <w:rFonts w:ascii="Arial" w:hAnsi="Arial" w:cs="Arial"/>
          <w:b/>
          <w:sz w:val="24"/>
          <w:szCs w:val="24"/>
          <w:lang w:val="en-GB" w:eastAsia="en-GB"/>
        </w:rPr>
        <w:t>Acceptability</w:t>
      </w:r>
      <w:bookmarkEnd w:id="35"/>
    </w:p>
    <w:p w14:paraId="68505645" w14:textId="77777777" w:rsidR="000216C7" w:rsidRDefault="000216C7" w:rsidP="000216C7">
      <w:pPr>
        <w:pStyle w:val="Heading3"/>
        <w:spacing w:before="120" w:after="120"/>
        <w:rPr>
          <w:rFonts w:ascii="Arial" w:hAnsi="Arial" w:cs="Arial"/>
          <w:b/>
          <w:i/>
          <w:sz w:val="20"/>
          <w:szCs w:val="20"/>
          <w:lang w:val="en-GB" w:eastAsia="en-GB"/>
        </w:rPr>
      </w:pPr>
      <w:bookmarkStart w:id="36" w:name="_Toc425677348"/>
      <w:bookmarkStart w:id="37" w:name="_Toc425696939"/>
      <w:bookmarkStart w:id="38" w:name="_Toc426023537"/>
      <w:bookmarkStart w:id="39" w:name="_Toc428029671"/>
      <w:r w:rsidRPr="003A5BB0">
        <w:rPr>
          <w:rFonts w:ascii="Arial" w:hAnsi="Arial" w:cs="Arial"/>
          <w:b/>
          <w:i/>
          <w:sz w:val="20"/>
          <w:szCs w:val="20"/>
          <w:lang w:val="en-GB" w:eastAsia="en-GB"/>
        </w:rPr>
        <w:t>Supply-side</w:t>
      </w:r>
      <w:bookmarkEnd w:id="36"/>
      <w:bookmarkEnd w:id="37"/>
      <w:bookmarkEnd w:id="38"/>
      <w:bookmarkEnd w:id="39"/>
    </w:p>
    <w:p w14:paraId="6D0A812F" w14:textId="77777777" w:rsidR="000216C7" w:rsidRPr="00E8411E" w:rsidRDefault="000216C7" w:rsidP="00904434">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Complexity of billing system and inability for patients to know prices beforehand</w:t>
      </w:r>
      <w:r w:rsidR="00E8411E" w:rsidRPr="00E8411E">
        <w:rPr>
          <w:rFonts w:cstheme="minorHAnsi"/>
          <w:sz w:val="20"/>
          <w:szCs w:val="20"/>
          <w:lang w:val="en-GB" w:eastAsia="en-GB"/>
        </w:rPr>
        <w:t xml:space="preserve">: As services are free of charge in the facilities visited, pricing was not identified as a barrier to service utilisation. </w:t>
      </w:r>
    </w:p>
    <w:p w14:paraId="470AEC66" w14:textId="77777777" w:rsidR="000216C7" w:rsidRPr="00E8411E" w:rsidRDefault="000216C7" w:rsidP="00904434">
      <w:pPr>
        <w:spacing w:before="120"/>
        <w:rPr>
          <w:rFonts w:cstheme="minorHAnsi"/>
          <w:sz w:val="20"/>
          <w:szCs w:val="20"/>
          <w:lang w:val="en-GB" w:eastAsia="en-GB"/>
        </w:rPr>
      </w:pPr>
      <w:r w:rsidRPr="00183925">
        <w:rPr>
          <w:rFonts w:cstheme="minorHAnsi"/>
          <w:sz w:val="20"/>
          <w:szCs w:val="20"/>
          <w:u w:val="single"/>
          <w:lang w:val="en-GB" w:eastAsia="en-GB"/>
        </w:rPr>
        <w:t>Staff interpersonal skills including trust</w:t>
      </w:r>
      <w:r w:rsidR="00E8411E" w:rsidRPr="00E8411E">
        <w:rPr>
          <w:rFonts w:cstheme="minorHAnsi"/>
          <w:sz w:val="20"/>
          <w:szCs w:val="20"/>
          <w:lang w:val="en-GB" w:eastAsia="en-GB"/>
        </w:rPr>
        <w:t>: Many of the staff observed had good interpersonal</w:t>
      </w:r>
      <w:r w:rsidR="00E8411E">
        <w:rPr>
          <w:rFonts w:cstheme="minorHAnsi"/>
          <w:sz w:val="20"/>
          <w:szCs w:val="20"/>
          <w:lang w:val="en-GB" w:eastAsia="en-GB"/>
        </w:rPr>
        <w:t xml:space="preserve"> skills and were actively engaging both caretaker and child. Often this was witnessed with the CHEWs and CHVs and less with the other cadres. As noted by caretakers:</w:t>
      </w:r>
      <w:r w:rsidR="00345E19">
        <w:rPr>
          <w:rFonts w:cstheme="minorHAnsi"/>
          <w:sz w:val="20"/>
          <w:szCs w:val="20"/>
          <w:lang w:val="en-GB" w:eastAsia="en-GB"/>
        </w:rPr>
        <w:t xml:space="preserve"> </w:t>
      </w:r>
    </w:p>
    <w:p w14:paraId="091BD681" w14:textId="77777777" w:rsidR="00FE4A0C" w:rsidRPr="006E2801" w:rsidRDefault="00FE4A0C" w:rsidP="00904434">
      <w:pPr>
        <w:spacing w:before="120"/>
        <w:rPr>
          <w:rFonts w:cstheme="minorHAnsi"/>
          <w:sz w:val="20"/>
          <w:szCs w:val="20"/>
          <w:lang w:val="en-GB" w:eastAsia="en-GB"/>
        </w:rPr>
      </w:pPr>
      <w:proofErr w:type="gramStart"/>
      <w:r w:rsidRPr="00FE4A0C">
        <w:rPr>
          <w:rFonts w:cstheme="minorHAnsi"/>
          <w:i/>
          <w:sz w:val="20"/>
          <w:szCs w:val="20"/>
          <w:lang w:val="en-GB" w:eastAsia="en-GB"/>
        </w:rPr>
        <w:t xml:space="preserve">“The health workers are friendly, knowledgeable but very </w:t>
      </w:r>
      <w:r w:rsidRPr="006E2801">
        <w:rPr>
          <w:rFonts w:cstheme="minorHAnsi"/>
          <w:i/>
          <w:sz w:val="20"/>
          <w:szCs w:val="20"/>
          <w:lang w:val="en-GB" w:eastAsia="en-GB"/>
        </w:rPr>
        <w:t>slow”</w:t>
      </w:r>
      <w:r w:rsidR="00BE6FA3" w:rsidRPr="006E2801">
        <w:rPr>
          <w:rFonts w:cstheme="minorHAnsi"/>
          <w:i/>
          <w:sz w:val="20"/>
          <w:szCs w:val="20"/>
          <w:lang w:val="en-GB" w:eastAsia="en-GB"/>
        </w:rPr>
        <w:t xml:space="preserve"> </w:t>
      </w:r>
      <w:r w:rsidRPr="006E2801">
        <w:rPr>
          <w:rFonts w:cstheme="minorHAnsi"/>
          <w:sz w:val="20"/>
          <w:szCs w:val="20"/>
          <w:lang w:val="en-GB" w:eastAsia="en-GB"/>
        </w:rPr>
        <w:t xml:space="preserve">(Mother, </w:t>
      </w:r>
      <w:proofErr w:type="spellStart"/>
      <w:r w:rsidRPr="006E2801">
        <w:rPr>
          <w:rFonts w:cstheme="minorHAnsi"/>
          <w:sz w:val="20"/>
          <w:szCs w:val="20"/>
          <w:lang w:val="en-GB" w:eastAsia="en-GB"/>
        </w:rPr>
        <w:t>Bahati</w:t>
      </w:r>
      <w:proofErr w:type="spellEnd"/>
      <w:r w:rsidRPr="006E2801">
        <w:rPr>
          <w:rFonts w:cstheme="minorHAnsi"/>
          <w:sz w:val="20"/>
          <w:szCs w:val="20"/>
          <w:lang w:val="en-GB" w:eastAsia="en-GB"/>
        </w:rPr>
        <w:t xml:space="preserve"> Health Centre).</w:t>
      </w:r>
      <w:proofErr w:type="gramEnd"/>
      <w:r w:rsidRPr="006E2801">
        <w:rPr>
          <w:rFonts w:cstheme="minorHAnsi"/>
          <w:sz w:val="20"/>
          <w:szCs w:val="20"/>
          <w:lang w:val="en-GB" w:eastAsia="en-GB"/>
        </w:rPr>
        <w:t xml:space="preserve"> </w:t>
      </w:r>
    </w:p>
    <w:p w14:paraId="0C00D75A" w14:textId="77777777" w:rsidR="00376BD2" w:rsidRDefault="00376BD2" w:rsidP="00904434">
      <w:pPr>
        <w:spacing w:before="120"/>
        <w:rPr>
          <w:rFonts w:cstheme="minorHAnsi"/>
          <w:sz w:val="20"/>
          <w:szCs w:val="20"/>
          <w:lang w:val="en-GB" w:eastAsia="en-GB"/>
        </w:rPr>
      </w:pPr>
      <w:r w:rsidRPr="006E2801">
        <w:rPr>
          <w:rFonts w:cstheme="minorHAnsi"/>
          <w:i/>
          <w:sz w:val="20"/>
          <w:szCs w:val="20"/>
          <w:lang w:val="en-GB" w:eastAsia="en-GB"/>
        </w:rPr>
        <w:t>“</w:t>
      </w:r>
      <w:r w:rsidR="00E8411E" w:rsidRPr="006E2801">
        <w:rPr>
          <w:rFonts w:cstheme="minorHAnsi"/>
          <w:i/>
          <w:sz w:val="20"/>
          <w:szCs w:val="20"/>
          <w:lang w:val="en-GB" w:eastAsia="en-GB"/>
        </w:rPr>
        <w:t>…</w:t>
      </w:r>
      <w:r w:rsidRPr="006E2801">
        <w:rPr>
          <w:rFonts w:cstheme="minorHAnsi"/>
          <w:i/>
          <w:sz w:val="20"/>
          <w:szCs w:val="20"/>
          <w:lang w:val="en-GB" w:eastAsia="en-GB"/>
        </w:rPr>
        <w:t>the health workers are very nice to us</w:t>
      </w:r>
      <w:r w:rsidR="00BE6FA3" w:rsidRPr="006E2801">
        <w:rPr>
          <w:rFonts w:cstheme="minorHAnsi"/>
          <w:i/>
          <w:sz w:val="20"/>
          <w:szCs w:val="20"/>
          <w:lang w:val="en-GB" w:eastAsia="en-GB"/>
        </w:rPr>
        <w:t>, e</w:t>
      </w:r>
      <w:r w:rsidRPr="006E2801">
        <w:rPr>
          <w:rFonts w:cstheme="minorHAnsi"/>
          <w:i/>
          <w:sz w:val="20"/>
          <w:szCs w:val="20"/>
          <w:lang w:val="en-GB" w:eastAsia="en-GB"/>
        </w:rPr>
        <w:t xml:space="preserve">specially the nutritionist. </w:t>
      </w:r>
      <w:proofErr w:type="gramStart"/>
      <w:r w:rsidRPr="006E2801">
        <w:rPr>
          <w:rFonts w:cstheme="minorHAnsi"/>
          <w:i/>
          <w:sz w:val="20"/>
          <w:szCs w:val="20"/>
          <w:lang w:val="en-GB" w:eastAsia="en-GB"/>
        </w:rPr>
        <w:t>She counsels the mothers very well on importance of exclusive breastfeeding and proper feeding practices</w:t>
      </w:r>
      <w:r w:rsidR="0082590B" w:rsidRPr="006E2801">
        <w:rPr>
          <w:rFonts w:cstheme="minorHAnsi"/>
          <w:i/>
          <w:sz w:val="20"/>
          <w:szCs w:val="20"/>
          <w:lang w:val="en-GB" w:eastAsia="en-GB"/>
        </w:rPr>
        <w:t>”</w:t>
      </w:r>
      <w:r w:rsidR="0082590B" w:rsidRPr="006E2801">
        <w:rPr>
          <w:rFonts w:cstheme="minorHAnsi"/>
          <w:sz w:val="20"/>
          <w:szCs w:val="20"/>
          <w:lang w:val="en-GB" w:eastAsia="en-GB"/>
        </w:rPr>
        <w:t xml:space="preserve"> (Mother, </w:t>
      </w:r>
      <w:proofErr w:type="spellStart"/>
      <w:r w:rsidR="0082590B" w:rsidRPr="006E2801">
        <w:rPr>
          <w:rFonts w:cstheme="minorHAnsi"/>
          <w:sz w:val="20"/>
          <w:szCs w:val="20"/>
          <w:lang w:val="en-GB" w:eastAsia="en-GB"/>
        </w:rPr>
        <w:t>Kahawa</w:t>
      </w:r>
      <w:proofErr w:type="spellEnd"/>
      <w:r w:rsidR="0082590B" w:rsidRPr="006E2801">
        <w:rPr>
          <w:rFonts w:cstheme="minorHAnsi"/>
          <w:sz w:val="20"/>
          <w:szCs w:val="20"/>
          <w:lang w:val="en-GB" w:eastAsia="en-GB"/>
        </w:rPr>
        <w:t xml:space="preserve"> West Health Centre).</w:t>
      </w:r>
      <w:proofErr w:type="gramEnd"/>
    </w:p>
    <w:p w14:paraId="17524BEC" w14:textId="77777777" w:rsidR="000216C7" w:rsidRPr="003A5BB0" w:rsidRDefault="000216C7" w:rsidP="000216C7">
      <w:pPr>
        <w:pStyle w:val="Heading3"/>
        <w:spacing w:before="120" w:after="120"/>
        <w:rPr>
          <w:rFonts w:ascii="Arial" w:hAnsi="Arial" w:cs="Arial"/>
          <w:b/>
          <w:i/>
          <w:sz w:val="20"/>
          <w:szCs w:val="20"/>
          <w:lang w:val="en-GB" w:eastAsia="en-GB"/>
        </w:rPr>
      </w:pPr>
      <w:bookmarkStart w:id="40" w:name="_Toc425677349"/>
      <w:bookmarkStart w:id="41" w:name="_Toc425696940"/>
      <w:bookmarkStart w:id="42" w:name="_Toc426023538"/>
      <w:bookmarkStart w:id="43" w:name="_Toc428029672"/>
      <w:r w:rsidRPr="003A5BB0">
        <w:rPr>
          <w:rFonts w:ascii="Arial" w:hAnsi="Arial" w:cs="Arial"/>
          <w:b/>
          <w:i/>
          <w:sz w:val="20"/>
          <w:szCs w:val="20"/>
          <w:lang w:val="en-GB" w:eastAsia="en-GB"/>
        </w:rPr>
        <w:t>Demand-side</w:t>
      </w:r>
      <w:bookmarkEnd w:id="40"/>
      <w:bookmarkEnd w:id="41"/>
      <w:bookmarkEnd w:id="42"/>
      <w:bookmarkEnd w:id="43"/>
    </w:p>
    <w:p w14:paraId="4B37675D" w14:textId="77777777" w:rsidR="000216C7" w:rsidRDefault="000216C7" w:rsidP="006406A8">
      <w:pPr>
        <w:autoSpaceDE w:val="0"/>
        <w:autoSpaceDN w:val="0"/>
        <w:adjustRightInd w:val="0"/>
        <w:spacing w:before="120"/>
        <w:rPr>
          <w:rFonts w:cstheme="minorHAnsi"/>
          <w:sz w:val="20"/>
          <w:szCs w:val="20"/>
          <w:u w:val="single"/>
          <w:lang w:val="en-GB" w:eastAsia="en-GB"/>
        </w:rPr>
      </w:pPr>
      <w:r w:rsidRPr="00183925">
        <w:rPr>
          <w:rFonts w:cstheme="minorHAnsi"/>
          <w:sz w:val="20"/>
          <w:szCs w:val="20"/>
          <w:u w:val="single"/>
          <w:lang w:val="en-GB" w:eastAsia="en-GB"/>
        </w:rPr>
        <w:t>Household expectations</w:t>
      </w:r>
      <w:r w:rsidR="00E8411E" w:rsidRPr="00E8411E">
        <w:rPr>
          <w:rFonts w:cstheme="minorHAnsi"/>
          <w:sz w:val="20"/>
          <w:szCs w:val="20"/>
          <w:lang w:val="en-GB" w:eastAsia="en-GB"/>
        </w:rPr>
        <w:t>: Caretaker expectations</w:t>
      </w:r>
      <w:r w:rsidR="00E8411E">
        <w:rPr>
          <w:rFonts w:cstheme="minorHAnsi"/>
          <w:sz w:val="20"/>
          <w:szCs w:val="20"/>
          <w:lang w:val="en-GB" w:eastAsia="en-GB"/>
        </w:rPr>
        <w:t xml:space="preserve"> have been “conditioned” to the availability of services. While they may not be informed of official working hours, many caretakers are aware of operational practices and conform to these as much as possible. This means, invariably, that some caretakers and their </w:t>
      </w:r>
      <w:proofErr w:type="gramStart"/>
      <w:r w:rsidR="00E8411E">
        <w:rPr>
          <w:rFonts w:cstheme="minorHAnsi"/>
          <w:sz w:val="20"/>
          <w:szCs w:val="20"/>
          <w:lang w:val="en-GB" w:eastAsia="en-GB"/>
        </w:rPr>
        <w:t>children,</w:t>
      </w:r>
      <w:proofErr w:type="gramEnd"/>
      <w:r w:rsidR="00E8411E">
        <w:rPr>
          <w:rFonts w:cstheme="minorHAnsi"/>
          <w:sz w:val="20"/>
          <w:szCs w:val="20"/>
          <w:lang w:val="en-GB" w:eastAsia="en-GB"/>
        </w:rPr>
        <w:t xml:space="preserve"> cannot attend for MCH services or do so with significant opportunity costs, including foregoing income </w:t>
      </w:r>
      <w:r w:rsidR="00C037A1">
        <w:rPr>
          <w:rFonts w:cstheme="minorHAnsi"/>
          <w:sz w:val="20"/>
          <w:szCs w:val="20"/>
          <w:lang w:val="en-GB" w:eastAsia="en-GB"/>
        </w:rPr>
        <w:t xml:space="preserve">– and the ability to buy food - </w:t>
      </w:r>
      <w:r w:rsidR="00E8411E">
        <w:rPr>
          <w:rFonts w:cstheme="minorHAnsi"/>
          <w:sz w:val="20"/>
          <w:szCs w:val="20"/>
          <w:lang w:val="en-GB" w:eastAsia="en-GB"/>
        </w:rPr>
        <w:t xml:space="preserve">for that day. </w:t>
      </w:r>
      <w:r w:rsidR="00E8411E" w:rsidRPr="00A55336">
        <w:rPr>
          <w:rFonts w:cstheme="minorHAnsi"/>
          <w:sz w:val="20"/>
          <w:szCs w:val="20"/>
          <w:lang w:val="en-GB" w:eastAsia="en-GB"/>
        </w:rPr>
        <w:t xml:space="preserve">This is extremely difficult for many caretakers </w:t>
      </w:r>
      <w:r w:rsidR="00C037A1" w:rsidRPr="00A55336">
        <w:rPr>
          <w:rFonts w:cstheme="minorHAnsi"/>
          <w:sz w:val="20"/>
          <w:szCs w:val="20"/>
          <w:lang w:val="en-GB" w:eastAsia="en-GB"/>
        </w:rPr>
        <w:t>who live on day-to-day subsistence</w:t>
      </w:r>
      <w:r w:rsidR="00C037A1">
        <w:rPr>
          <w:rFonts w:cstheme="minorHAnsi"/>
          <w:sz w:val="20"/>
          <w:szCs w:val="20"/>
          <w:lang w:val="en-GB" w:eastAsia="en-GB"/>
        </w:rPr>
        <w:t xml:space="preserve">. </w:t>
      </w:r>
    </w:p>
    <w:p w14:paraId="27853154" w14:textId="3C9A3D00" w:rsidR="00376BD2" w:rsidRPr="00C037A1" w:rsidRDefault="000216C7" w:rsidP="00C037A1">
      <w:pPr>
        <w:autoSpaceDE w:val="0"/>
        <w:autoSpaceDN w:val="0"/>
        <w:adjustRightInd w:val="0"/>
        <w:spacing w:before="120"/>
        <w:rPr>
          <w:rFonts w:cstheme="minorHAnsi"/>
          <w:sz w:val="20"/>
          <w:szCs w:val="20"/>
          <w:lang w:val="en-GB" w:eastAsia="en-GB"/>
        </w:rPr>
      </w:pPr>
      <w:r w:rsidRPr="00183925">
        <w:rPr>
          <w:rFonts w:cstheme="minorHAnsi"/>
          <w:sz w:val="20"/>
          <w:szCs w:val="20"/>
          <w:u w:val="single"/>
          <w:lang w:val="en-GB" w:eastAsia="en-GB"/>
        </w:rPr>
        <w:t>Low self-esteem and lack of assertiveness</w:t>
      </w:r>
      <w:r w:rsidR="00FC4E78" w:rsidRPr="00C037A1">
        <w:rPr>
          <w:rFonts w:cstheme="minorHAnsi"/>
          <w:sz w:val="20"/>
          <w:szCs w:val="20"/>
          <w:lang w:val="en-GB" w:eastAsia="en-GB"/>
        </w:rPr>
        <w:t xml:space="preserve">: </w:t>
      </w:r>
      <w:r w:rsidR="00C037A1" w:rsidRPr="00C037A1">
        <w:rPr>
          <w:rFonts w:cstheme="minorHAnsi"/>
          <w:sz w:val="20"/>
          <w:szCs w:val="20"/>
          <w:lang w:val="en-GB" w:eastAsia="en-GB"/>
        </w:rPr>
        <w:t>Caretakers, particularly young women, new migrants</w:t>
      </w:r>
      <w:r w:rsidR="00C037A1">
        <w:rPr>
          <w:rFonts w:cstheme="minorHAnsi"/>
          <w:sz w:val="20"/>
          <w:szCs w:val="20"/>
          <w:lang w:val="en-GB" w:eastAsia="en-GB"/>
        </w:rPr>
        <w:t xml:space="preserve"> and minority groups,</w:t>
      </w:r>
      <w:r w:rsidR="00C037A1" w:rsidRPr="00C037A1">
        <w:rPr>
          <w:rFonts w:cstheme="minorHAnsi"/>
          <w:sz w:val="20"/>
          <w:szCs w:val="20"/>
          <w:lang w:val="en-GB" w:eastAsia="en-GB"/>
        </w:rPr>
        <w:t xml:space="preserve"> </w:t>
      </w:r>
      <w:r w:rsidR="00C037A1">
        <w:rPr>
          <w:rFonts w:cstheme="minorHAnsi"/>
          <w:sz w:val="20"/>
          <w:szCs w:val="20"/>
          <w:lang w:val="en-GB" w:eastAsia="en-GB"/>
        </w:rPr>
        <w:t>including people with disability, may lack the confidence to negotiate the complexity of health service organisation and procedur</w:t>
      </w:r>
      <w:r w:rsidR="004C2345">
        <w:rPr>
          <w:rFonts w:cstheme="minorHAnsi"/>
          <w:sz w:val="20"/>
          <w:szCs w:val="20"/>
          <w:lang w:val="en-GB" w:eastAsia="en-GB"/>
        </w:rPr>
        <w:t>al requirements</w:t>
      </w:r>
      <w:r w:rsidR="00C037A1">
        <w:rPr>
          <w:rFonts w:cstheme="minorHAnsi"/>
          <w:sz w:val="20"/>
          <w:szCs w:val="20"/>
          <w:lang w:val="en-GB" w:eastAsia="en-GB"/>
        </w:rPr>
        <w:t>. One mother recounted that she had a</w:t>
      </w:r>
      <w:r w:rsidR="00376BD2" w:rsidRPr="00376BD2">
        <w:rPr>
          <w:rFonts w:cstheme="minorHAnsi"/>
          <w:sz w:val="20"/>
          <w:szCs w:val="20"/>
          <w:lang w:val="en-GB" w:eastAsia="en-GB"/>
        </w:rPr>
        <w:t>rrived at 10.00</w:t>
      </w:r>
      <w:r w:rsidR="00CE3CFA">
        <w:rPr>
          <w:rFonts w:cstheme="minorHAnsi"/>
          <w:sz w:val="20"/>
          <w:szCs w:val="20"/>
          <w:lang w:val="en-GB" w:eastAsia="en-GB"/>
        </w:rPr>
        <w:t xml:space="preserve"> </w:t>
      </w:r>
      <w:r w:rsidR="00376BD2" w:rsidRPr="00376BD2">
        <w:rPr>
          <w:rFonts w:cstheme="minorHAnsi"/>
          <w:sz w:val="20"/>
          <w:szCs w:val="20"/>
          <w:lang w:val="en-GB" w:eastAsia="en-GB"/>
        </w:rPr>
        <w:t xml:space="preserve">am </w:t>
      </w:r>
      <w:r w:rsidR="00376BD2">
        <w:rPr>
          <w:rFonts w:cstheme="minorHAnsi"/>
          <w:sz w:val="20"/>
          <w:szCs w:val="20"/>
          <w:lang w:val="en-GB" w:eastAsia="en-GB"/>
        </w:rPr>
        <w:t>and</w:t>
      </w:r>
      <w:r w:rsidR="00376BD2" w:rsidRPr="00376BD2">
        <w:rPr>
          <w:rFonts w:cstheme="minorHAnsi"/>
          <w:sz w:val="20"/>
          <w:szCs w:val="20"/>
          <w:lang w:val="en-GB" w:eastAsia="en-GB"/>
        </w:rPr>
        <w:t xml:space="preserve"> was turned away because the registration of the patients had already been finalized. She requested to speak to the nurse who listened to her and accepted to see the baby who ha</w:t>
      </w:r>
      <w:r w:rsidR="00376BD2">
        <w:rPr>
          <w:rFonts w:cstheme="minorHAnsi"/>
          <w:sz w:val="20"/>
          <w:szCs w:val="20"/>
          <w:lang w:val="en-GB" w:eastAsia="en-GB"/>
        </w:rPr>
        <w:t>d</w:t>
      </w:r>
      <w:r w:rsidR="00376BD2" w:rsidRPr="00376BD2">
        <w:rPr>
          <w:rFonts w:cstheme="minorHAnsi"/>
          <w:sz w:val="20"/>
          <w:szCs w:val="20"/>
          <w:lang w:val="en-GB" w:eastAsia="en-GB"/>
        </w:rPr>
        <w:t xml:space="preserve"> a fever. However, she also wanted the baby to be weighed, given Vitamin A and </w:t>
      </w:r>
      <w:r w:rsidR="00376BD2">
        <w:rPr>
          <w:rFonts w:cstheme="minorHAnsi"/>
          <w:sz w:val="20"/>
          <w:szCs w:val="20"/>
          <w:lang w:val="en-GB" w:eastAsia="en-GB"/>
        </w:rPr>
        <w:t>she wanted family planning pills for her</w:t>
      </w:r>
      <w:r w:rsidR="00376BD2" w:rsidRPr="00376BD2">
        <w:rPr>
          <w:rFonts w:cstheme="minorHAnsi"/>
          <w:sz w:val="20"/>
          <w:szCs w:val="20"/>
          <w:lang w:val="en-GB" w:eastAsia="en-GB"/>
        </w:rPr>
        <w:t xml:space="preserve">self. </w:t>
      </w:r>
      <w:r w:rsidR="00376BD2">
        <w:rPr>
          <w:rFonts w:cstheme="minorHAnsi"/>
          <w:sz w:val="20"/>
          <w:szCs w:val="20"/>
          <w:lang w:val="en-GB" w:eastAsia="en-GB"/>
        </w:rPr>
        <w:t xml:space="preserve">She was advised to come </w:t>
      </w:r>
      <w:r w:rsidR="00376BD2" w:rsidRPr="00376BD2">
        <w:rPr>
          <w:rFonts w:cstheme="minorHAnsi"/>
          <w:sz w:val="20"/>
          <w:szCs w:val="20"/>
          <w:lang w:val="en-GB" w:eastAsia="en-GB"/>
        </w:rPr>
        <w:t xml:space="preserve">back tomorrow because she arrived late. </w:t>
      </w:r>
      <w:r w:rsidR="00376BD2">
        <w:rPr>
          <w:rFonts w:cstheme="minorHAnsi"/>
          <w:sz w:val="20"/>
          <w:szCs w:val="20"/>
          <w:lang w:val="en-GB" w:eastAsia="en-GB"/>
        </w:rPr>
        <w:t xml:space="preserve">As she stated, </w:t>
      </w:r>
      <w:r w:rsidR="00376BD2" w:rsidRPr="00376BD2">
        <w:rPr>
          <w:rFonts w:cstheme="minorHAnsi"/>
          <w:i/>
          <w:sz w:val="20"/>
          <w:szCs w:val="20"/>
          <w:lang w:val="en-GB" w:eastAsia="en-GB"/>
        </w:rPr>
        <w:t>“mothers who lack a voice or are unable to negotiate are turned away”.</w:t>
      </w:r>
      <w:r w:rsidR="00C037A1">
        <w:rPr>
          <w:rFonts w:cstheme="minorHAnsi"/>
          <w:i/>
          <w:sz w:val="20"/>
          <w:szCs w:val="20"/>
          <w:lang w:val="en-GB" w:eastAsia="en-GB"/>
        </w:rPr>
        <w:t xml:space="preserve"> </w:t>
      </w:r>
      <w:r w:rsidR="00C037A1">
        <w:rPr>
          <w:rFonts w:cstheme="minorHAnsi"/>
          <w:sz w:val="20"/>
          <w:szCs w:val="20"/>
          <w:lang w:val="en-GB" w:eastAsia="en-GB"/>
        </w:rPr>
        <w:t xml:space="preserve">In another instance, a mother explained that her child was seriously ill but she could not get anyone to attend to her; as she was leaving the facility in tears, a doctor saw her and intervened. As she stated, if not for his intervention her child </w:t>
      </w:r>
      <w:r w:rsidR="004C2345">
        <w:rPr>
          <w:rFonts w:cstheme="minorHAnsi"/>
          <w:sz w:val="20"/>
          <w:szCs w:val="20"/>
          <w:lang w:val="en-GB" w:eastAsia="en-GB"/>
        </w:rPr>
        <w:t>might not have survived</w:t>
      </w:r>
      <w:r w:rsidR="00C037A1">
        <w:rPr>
          <w:rStyle w:val="FootnoteReference"/>
          <w:rFonts w:cstheme="minorHAnsi"/>
          <w:sz w:val="20"/>
          <w:szCs w:val="20"/>
          <w:lang w:val="en-GB" w:eastAsia="en-GB"/>
        </w:rPr>
        <w:footnoteReference w:id="8"/>
      </w:r>
      <w:r w:rsidR="00C037A1">
        <w:rPr>
          <w:rFonts w:cstheme="minorHAnsi"/>
          <w:sz w:val="20"/>
          <w:szCs w:val="20"/>
          <w:lang w:val="en-GB" w:eastAsia="en-GB"/>
        </w:rPr>
        <w:t>.</w:t>
      </w:r>
      <w:r w:rsidR="004C2345">
        <w:rPr>
          <w:rFonts w:cstheme="minorHAnsi"/>
          <w:sz w:val="20"/>
          <w:szCs w:val="20"/>
          <w:lang w:val="en-GB" w:eastAsia="en-GB"/>
        </w:rPr>
        <w:t xml:space="preserve"> </w:t>
      </w:r>
      <w:r w:rsidR="004C2345" w:rsidRPr="00A55336">
        <w:rPr>
          <w:rFonts w:cstheme="minorHAnsi"/>
          <w:sz w:val="20"/>
          <w:szCs w:val="20"/>
          <w:lang w:val="en-GB" w:eastAsia="en-GB"/>
        </w:rPr>
        <w:t>This suggests that greater voice and accountability are required</w:t>
      </w:r>
      <w:r w:rsidR="00C037A1" w:rsidRPr="00A55336">
        <w:rPr>
          <w:rFonts w:cstheme="minorHAnsi"/>
          <w:sz w:val="20"/>
          <w:szCs w:val="20"/>
          <w:lang w:val="en-GB" w:eastAsia="en-GB"/>
        </w:rPr>
        <w:t xml:space="preserve"> </w:t>
      </w:r>
      <w:r w:rsidR="004C2345" w:rsidRPr="00A55336">
        <w:rPr>
          <w:rFonts w:cstheme="minorHAnsi"/>
          <w:sz w:val="20"/>
          <w:szCs w:val="20"/>
          <w:lang w:val="en-GB" w:eastAsia="en-GB"/>
        </w:rPr>
        <w:t>to ensure a more people-centred service.</w:t>
      </w:r>
      <w:r w:rsidR="00FA2A29">
        <w:rPr>
          <w:rFonts w:cstheme="minorHAnsi"/>
          <w:sz w:val="20"/>
          <w:szCs w:val="20"/>
          <w:lang w:val="en-GB" w:eastAsia="en-GB"/>
        </w:rPr>
        <w:t xml:space="preserve"> </w:t>
      </w:r>
    </w:p>
    <w:p w14:paraId="3BC2357D" w14:textId="77777777" w:rsidR="000216C7" w:rsidRPr="004C2345" w:rsidRDefault="000216C7" w:rsidP="004C2345">
      <w:pPr>
        <w:spacing w:before="120"/>
        <w:rPr>
          <w:rFonts w:cstheme="minorHAnsi"/>
          <w:sz w:val="20"/>
          <w:szCs w:val="20"/>
          <w:lang w:val="en-GB" w:eastAsia="en-GB"/>
        </w:rPr>
      </w:pPr>
      <w:r w:rsidRPr="00183925">
        <w:rPr>
          <w:rFonts w:cstheme="minorHAnsi"/>
          <w:sz w:val="20"/>
          <w:szCs w:val="20"/>
          <w:u w:val="single"/>
          <w:lang w:val="en-GB" w:eastAsia="en-GB"/>
        </w:rPr>
        <w:t>Community and cultural preferences</w:t>
      </w:r>
      <w:r w:rsidR="004C2345" w:rsidRPr="004C2345">
        <w:rPr>
          <w:rFonts w:cstheme="minorHAnsi"/>
          <w:sz w:val="20"/>
          <w:szCs w:val="20"/>
          <w:lang w:val="en-GB" w:eastAsia="en-GB"/>
        </w:rPr>
        <w:t xml:space="preserve">: There was </w:t>
      </w:r>
      <w:r w:rsidR="004C2345" w:rsidRPr="004C2345">
        <w:rPr>
          <w:sz w:val="20"/>
          <w:szCs w:val="20"/>
        </w:rPr>
        <w:t>widespread</w:t>
      </w:r>
      <w:r w:rsidR="004C2345">
        <w:rPr>
          <w:sz w:val="20"/>
          <w:szCs w:val="20"/>
        </w:rPr>
        <w:t xml:space="preserve"> reference to cultural practices, reflecting the diversity of the population in the informal settlements – </w:t>
      </w:r>
      <w:proofErr w:type="gramStart"/>
      <w:r w:rsidR="004C2345">
        <w:rPr>
          <w:sz w:val="20"/>
          <w:szCs w:val="20"/>
        </w:rPr>
        <w:t>these range</w:t>
      </w:r>
      <w:proofErr w:type="gramEnd"/>
      <w:r w:rsidR="004C2345">
        <w:rPr>
          <w:sz w:val="20"/>
          <w:szCs w:val="20"/>
        </w:rPr>
        <w:t xml:space="preserve"> from those who will not seek services due to religious or cultural beliefs (and choose to use traditional birth attendants and healers in lieu) as well as those who restrict the diets of children and mothers. As noted, p</w:t>
      </w:r>
      <w:r w:rsidR="004C2345" w:rsidRPr="006406A8">
        <w:rPr>
          <w:sz w:val="20"/>
          <w:szCs w:val="20"/>
        </w:rPr>
        <w:t>oor feeding practice</w:t>
      </w:r>
      <w:r w:rsidR="004C2345">
        <w:rPr>
          <w:sz w:val="20"/>
          <w:szCs w:val="20"/>
        </w:rPr>
        <w:t xml:space="preserve">s are passed along generations, </w:t>
      </w:r>
      <w:r w:rsidR="004C2345" w:rsidRPr="006406A8">
        <w:rPr>
          <w:sz w:val="20"/>
          <w:szCs w:val="20"/>
        </w:rPr>
        <w:t>from grandmother</w:t>
      </w:r>
      <w:r w:rsidR="004C2345">
        <w:rPr>
          <w:sz w:val="20"/>
          <w:szCs w:val="20"/>
        </w:rPr>
        <w:t xml:space="preserve">, </w:t>
      </w:r>
      <w:r w:rsidR="004C2345" w:rsidRPr="006406A8">
        <w:rPr>
          <w:sz w:val="20"/>
          <w:szCs w:val="20"/>
        </w:rPr>
        <w:t>to m</w:t>
      </w:r>
      <w:r w:rsidR="004C2345">
        <w:rPr>
          <w:sz w:val="20"/>
          <w:szCs w:val="20"/>
        </w:rPr>
        <w:t xml:space="preserve">other, to daughter. For example, a health worker recounted that the </w:t>
      </w:r>
      <w:r w:rsidR="004C2345" w:rsidRPr="00044796">
        <w:rPr>
          <w:i/>
          <w:sz w:val="20"/>
          <w:szCs w:val="20"/>
        </w:rPr>
        <w:t xml:space="preserve">“daughter was told by mother that salt should not be added to the baby’s food. Baby should only be fed on mashed bananas and pumpkin. Baby should not eat onions and fried </w:t>
      </w:r>
      <w:r w:rsidR="004C2345" w:rsidRPr="006E2801">
        <w:rPr>
          <w:i/>
          <w:sz w:val="20"/>
          <w:szCs w:val="20"/>
        </w:rPr>
        <w:t>foods”.  So, what is the source of iodine for this baby? What about other essential micro nutrients?”</w:t>
      </w:r>
      <w:r w:rsidR="004C2345" w:rsidRPr="006E2801">
        <w:rPr>
          <w:sz w:val="20"/>
          <w:szCs w:val="20"/>
        </w:rPr>
        <w:t xml:space="preserve"> (Health Worker, </w:t>
      </w:r>
      <w:proofErr w:type="spellStart"/>
      <w:r w:rsidR="004C2345" w:rsidRPr="006E2801">
        <w:rPr>
          <w:sz w:val="20"/>
          <w:szCs w:val="20"/>
        </w:rPr>
        <w:t>Bahati</w:t>
      </w:r>
      <w:proofErr w:type="spellEnd"/>
      <w:r w:rsidR="004C2345" w:rsidRPr="006E2801">
        <w:rPr>
          <w:sz w:val="20"/>
          <w:szCs w:val="20"/>
        </w:rPr>
        <w:t xml:space="preserve"> Health Centre). Another mother explained that her baby </w:t>
      </w:r>
      <w:r w:rsidR="004C2345" w:rsidRPr="006E2801">
        <w:rPr>
          <w:sz w:val="20"/>
          <w:szCs w:val="20"/>
        </w:rPr>
        <w:lastRenderedPageBreak/>
        <w:t xml:space="preserve">cannot eat eggs as the </w:t>
      </w:r>
      <w:r w:rsidR="004C2345" w:rsidRPr="006E2801">
        <w:rPr>
          <w:i/>
          <w:sz w:val="20"/>
          <w:szCs w:val="20"/>
        </w:rPr>
        <w:t>“baby cannot digest such powerful animal protein”.</w:t>
      </w:r>
      <w:r w:rsidR="004C2345" w:rsidRPr="006E2801">
        <w:rPr>
          <w:sz w:val="20"/>
          <w:szCs w:val="20"/>
        </w:rPr>
        <w:t xml:space="preserve"> When asked about cereals</w:t>
      </w:r>
      <w:r w:rsidR="00FA2A29" w:rsidRPr="006E2801">
        <w:rPr>
          <w:sz w:val="20"/>
          <w:szCs w:val="20"/>
        </w:rPr>
        <w:t xml:space="preserve"> and pulses</w:t>
      </w:r>
      <w:r w:rsidR="004C2345" w:rsidRPr="006E2801">
        <w:rPr>
          <w:sz w:val="20"/>
          <w:szCs w:val="20"/>
        </w:rPr>
        <w:t xml:space="preserve"> such as green grams, beans, and split peas she explained that her husband’s culture (Kamba) discourages consumption of such food </w:t>
      </w:r>
      <w:r w:rsidR="004C2345" w:rsidRPr="006E2801">
        <w:rPr>
          <w:i/>
          <w:sz w:val="20"/>
          <w:szCs w:val="20"/>
        </w:rPr>
        <w:t>“as baby will not achieve milestones in a timely manner as required”</w:t>
      </w:r>
      <w:r w:rsidR="004C2345" w:rsidRPr="006E2801">
        <w:rPr>
          <w:sz w:val="20"/>
          <w:szCs w:val="20"/>
        </w:rPr>
        <w:t xml:space="preserve"> (Mother, Biafra Health Centre). The diversity of cultural and community preferences reinforces the need for </w:t>
      </w:r>
      <w:proofErr w:type="spellStart"/>
      <w:r w:rsidR="004C2345" w:rsidRPr="006E2801">
        <w:rPr>
          <w:sz w:val="20"/>
          <w:szCs w:val="20"/>
        </w:rPr>
        <w:t>contextualised</w:t>
      </w:r>
      <w:proofErr w:type="spellEnd"/>
      <w:r w:rsidR="004C2345" w:rsidRPr="006E2801">
        <w:rPr>
          <w:sz w:val="20"/>
          <w:szCs w:val="20"/>
        </w:rPr>
        <w:t>, client-focused IYCF cou</w:t>
      </w:r>
      <w:r w:rsidR="004C2345">
        <w:rPr>
          <w:sz w:val="20"/>
          <w:szCs w:val="20"/>
        </w:rPr>
        <w:t xml:space="preserve">nselling and education. </w:t>
      </w:r>
    </w:p>
    <w:p w14:paraId="248ACB50" w14:textId="77777777" w:rsidR="0082590B" w:rsidRPr="006E2801" w:rsidRDefault="000216C7" w:rsidP="00845BAF">
      <w:pPr>
        <w:autoSpaceDE w:val="0"/>
        <w:autoSpaceDN w:val="0"/>
        <w:adjustRightInd w:val="0"/>
        <w:spacing w:before="120"/>
        <w:rPr>
          <w:rFonts w:cstheme="minorHAnsi"/>
          <w:sz w:val="20"/>
          <w:szCs w:val="20"/>
          <w:lang w:val="en-GB" w:eastAsia="en-GB"/>
        </w:rPr>
      </w:pPr>
      <w:r w:rsidRPr="00A55336">
        <w:rPr>
          <w:rFonts w:cstheme="minorHAnsi"/>
          <w:sz w:val="20"/>
          <w:szCs w:val="20"/>
          <w:u w:val="single"/>
          <w:lang w:val="en-GB" w:eastAsia="en-GB"/>
        </w:rPr>
        <w:t>Stigma</w:t>
      </w:r>
      <w:r w:rsidR="00845BAF" w:rsidRPr="00A55336">
        <w:rPr>
          <w:rFonts w:cstheme="minorHAnsi"/>
          <w:sz w:val="20"/>
          <w:szCs w:val="20"/>
          <w:u w:val="single"/>
          <w:lang w:val="en-GB" w:eastAsia="en-GB"/>
        </w:rPr>
        <w:t>:</w:t>
      </w:r>
      <w:r w:rsidR="00845BAF" w:rsidRPr="00A55336">
        <w:rPr>
          <w:rFonts w:cstheme="minorHAnsi"/>
          <w:sz w:val="20"/>
          <w:szCs w:val="20"/>
          <w:lang w:val="en-GB" w:eastAsia="en-GB"/>
        </w:rPr>
        <w:t xml:space="preserve"> Fear and stigma associated with malnutrition</w:t>
      </w:r>
      <w:r w:rsidR="004C2345" w:rsidRPr="00A55336">
        <w:rPr>
          <w:rFonts w:cstheme="minorHAnsi"/>
          <w:sz w:val="20"/>
          <w:szCs w:val="20"/>
          <w:lang w:val="en-GB" w:eastAsia="en-GB"/>
        </w:rPr>
        <w:t xml:space="preserve"> was mentioned in only a few instances while the </w:t>
      </w:r>
      <w:r w:rsidR="00845BAF" w:rsidRPr="00A55336">
        <w:rPr>
          <w:rFonts w:cstheme="minorHAnsi"/>
          <w:sz w:val="20"/>
          <w:szCs w:val="20"/>
          <w:lang w:val="en-GB" w:eastAsia="en-GB"/>
        </w:rPr>
        <w:t xml:space="preserve">fear of HIV testing for the mothers during ANC </w:t>
      </w:r>
      <w:r w:rsidR="004C2345" w:rsidRPr="00A55336">
        <w:rPr>
          <w:rFonts w:cstheme="minorHAnsi"/>
          <w:sz w:val="20"/>
          <w:szCs w:val="20"/>
          <w:lang w:val="en-GB" w:eastAsia="en-GB"/>
        </w:rPr>
        <w:t xml:space="preserve">was cited as a reason for not attending formal services and resorting to </w:t>
      </w:r>
      <w:r w:rsidR="00845BAF" w:rsidRPr="00A55336">
        <w:rPr>
          <w:rFonts w:cstheme="minorHAnsi"/>
          <w:sz w:val="20"/>
          <w:szCs w:val="20"/>
          <w:lang w:val="en-GB" w:eastAsia="en-GB"/>
        </w:rPr>
        <w:t>TBAs for delivery</w:t>
      </w:r>
      <w:r w:rsidR="00FE6B31">
        <w:rPr>
          <w:rFonts w:cstheme="minorHAnsi"/>
          <w:sz w:val="20"/>
          <w:szCs w:val="20"/>
          <w:lang w:val="en-GB" w:eastAsia="en-GB"/>
        </w:rPr>
        <w:t xml:space="preserve"> however it is not clear how prevalent this concern is</w:t>
      </w:r>
      <w:r w:rsidR="0082590B" w:rsidRPr="00A55336">
        <w:rPr>
          <w:rFonts w:cstheme="minorHAnsi"/>
          <w:sz w:val="20"/>
          <w:szCs w:val="20"/>
          <w:lang w:val="en-GB" w:eastAsia="en-GB"/>
        </w:rPr>
        <w:t>.</w:t>
      </w:r>
      <w:r w:rsidR="00871BD0" w:rsidRPr="00A55336">
        <w:rPr>
          <w:rFonts w:cstheme="minorHAnsi"/>
          <w:sz w:val="20"/>
          <w:szCs w:val="20"/>
          <w:lang w:val="en-GB" w:eastAsia="en-GB"/>
        </w:rPr>
        <w:t xml:space="preserve"> In one instance, the </w:t>
      </w:r>
      <w:r w:rsidR="0082590B" w:rsidRPr="00A55336">
        <w:rPr>
          <w:rFonts w:cstheme="minorHAnsi"/>
          <w:sz w:val="20"/>
          <w:szCs w:val="20"/>
          <w:lang w:val="en-GB" w:eastAsia="en-GB"/>
        </w:rPr>
        <w:t>nutrition</w:t>
      </w:r>
      <w:r w:rsidR="0082590B" w:rsidRPr="0082590B">
        <w:rPr>
          <w:rFonts w:cstheme="minorHAnsi"/>
          <w:sz w:val="20"/>
          <w:szCs w:val="20"/>
          <w:lang w:val="en-GB" w:eastAsia="en-GB"/>
        </w:rPr>
        <w:t xml:space="preserve"> office </w:t>
      </w:r>
      <w:r w:rsidR="00871BD0">
        <w:rPr>
          <w:rFonts w:cstheme="minorHAnsi"/>
          <w:sz w:val="20"/>
          <w:szCs w:val="20"/>
          <w:lang w:val="en-GB" w:eastAsia="en-GB"/>
        </w:rPr>
        <w:t xml:space="preserve">location </w:t>
      </w:r>
      <w:r w:rsidR="0082590B" w:rsidRPr="0082590B">
        <w:rPr>
          <w:rFonts w:cstheme="minorHAnsi"/>
          <w:sz w:val="20"/>
          <w:szCs w:val="20"/>
          <w:lang w:val="en-GB" w:eastAsia="en-GB"/>
        </w:rPr>
        <w:t xml:space="preserve">next to the </w:t>
      </w:r>
      <w:r w:rsidR="00871BD0">
        <w:rPr>
          <w:rFonts w:cstheme="minorHAnsi"/>
          <w:sz w:val="20"/>
          <w:szCs w:val="20"/>
          <w:lang w:val="en-GB" w:eastAsia="en-GB"/>
        </w:rPr>
        <w:t xml:space="preserve">comprehensive care centre (CCC) was cited as a reason for not attending for IMAM services as mothers did not </w:t>
      </w:r>
      <w:r w:rsidR="0082590B" w:rsidRPr="0082590B">
        <w:rPr>
          <w:rFonts w:cstheme="minorHAnsi"/>
          <w:sz w:val="20"/>
          <w:szCs w:val="20"/>
          <w:lang w:val="en-GB" w:eastAsia="en-GB"/>
        </w:rPr>
        <w:t xml:space="preserve">want to be seated on the chairs outside the CCC office because of </w:t>
      </w:r>
      <w:r w:rsidR="00871BD0">
        <w:rPr>
          <w:rFonts w:cstheme="minorHAnsi"/>
          <w:sz w:val="20"/>
          <w:szCs w:val="20"/>
          <w:lang w:val="en-GB" w:eastAsia="en-GB"/>
        </w:rPr>
        <w:t xml:space="preserve">the </w:t>
      </w:r>
      <w:r w:rsidR="0082590B" w:rsidRPr="0082590B">
        <w:rPr>
          <w:rFonts w:cstheme="minorHAnsi"/>
          <w:sz w:val="20"/>
          <w:szCs w:val="20"/>
          <w:lang w:val="en-GB" w:eastAsia="en-GB"/>
        </w:rPr>
        <w:t xml:space="preserve">stigma </w:t>
      </w:r>
      <w:r w:rsidR="00871BD0">
        <w:rPr>
          <w:rFonts w:cstheme="minorHAnsi"/>
          <w:sz w:val="20"/>
          <w:szCs w:val="20"/>
          <w:lang w:val="en-GB" w:eastAsia="en-GB"/>
        </w:rPr>
        <w:t xml:space="preserve">associated with HIV </w:t>
      </w:r>
      <w:r w:rsidR="0082590B" w:rsidRPr="0082590B">
        <w:rPr>
          <w:rFonts w:cstheme="minorHAnsi"/>
          <w:sz w:val="20"/>
          <w:szCs w:val="20"/>
          <w:lang w:val="en-GB" w:eastAsia="en-GB"/>
        </w:rPr>
        <w:t>in the community</w:t>
      </w:r>
      <w:r w:rsidR="0082590B">
        <w:rPr>
          <w:rFonts w:cstheme="minorHAnsi"/>
          <w:sz w:val="20"/>
          <w:szCs w:val="20"/>
          <w:lang w:val="en-GB" w:eastAsia="en-GB"/>
        </w:rPr>
        <w:t xml:space="preserve"> (</w:t>
      </w:r>
      <w:proofErr w:type="spellStart"/>
      <w:r w:rsidR="00FA2A29" w:rsidRPr="006E2801">
        <w:rPr>
          <w:rFonts w:cstheme="minorHAnsi"/>
          <w:sz w:val="20"/>
          <w:szCs w:val="20"/>
          <w:lang w:val="en-GB" w:eastAsia="en-GB"/>
        </w:rPr>
        <w:t>Kangemi</w:t>
      </w:r>
      <w:proofErr w:type="spellEnd"/>
      <w:r w:rsidR="00FA2A29" w:rsidRPr="006E2801">
        <w:rPr>
          <w:rFonts w:cstheme="minorHAnsi"/>
          <w:sz w:val="20"/>
          <w:szCs w:val="20"/>
          <w:lang w:val="en-GB" w:eastAsia="en-GB"/>
        </w:rPr>
        <w:t xml:space="preserve"> </w:t>
      </w:r>
      <w:r w:rsidR="0082590B" w:rsidRPr="006E2801">
        <w:rPr>
          <w:rFonts w:cstheme="minorHAnsi"/>
          <w:sz w:val="20"/>
          <w:szCs w:val="20"/>
          <w:lang w:val="en-GB" w:eastAsia="en-GB"/>
        </w:rPr>
        <w:t xml:space="preserve">Health Centre). </w:t>
      </w:r>
    </w:p>
    <w:p w14:paraId="7BA679CD" w14:textId="77777777" w:rsidR="00871BD0" w:rsidRDefault="000216C7" w:rsidP="006406A8">
      <w:pPr>
        <w:spacing w:before="120"/>
        <w:rPr>
          <w:rFonts w:cstheme="minorHAnsi"/>
          <w:sz w:val="20"/>
          <w:szCs w:val="20"/>
          <w:lang w:val="en-GB" w:eastAsia="en-GB"/>
        </w:rPr>
      </w:pPr>
      <w:r w:rsidRPr="006E2801">
        <w:rPr>
          <w:rFonts w:cstheme="minorHAnsi"/>
          <w:sz w:val="20"/>
          <w:szCs w:val="20"/>
          <w:u w:val="single"/>
          <w:lang w:val="en-GB" w:eastAsia="en-GB"/>
        </w:rPr>
        <w:t>Lack of health awareness</w:t>
      </w:r>
      <w:r w:rsidR="006406A8" w:rsidRPr="006E2801">
        <w:rPr>
          <w:rFonts w:cstheme="minorHAnsi"/>
          <w:sz w:val="20"/>
          <w:szCs w:val="20"/>
          <w:lang w:val="en-GB" w:eastAsia="en-GB"/>
        </w:rPr>
        <w:t xml:space="preserve">: </w:t>
      </w:r>
      <w:r w:rsidR="00405DFD" w:rsidRPr="006E2801">
        <w:rPr>
          <w:rFonts w:cstheme="minorHAnsi"/>
          <w:sz w:val="20"/>
          <w:szCs w:val="20"/>
          <w:lang w:val="en-GB" w:eastAsia="en-GB"/>
        </w:rPr>
        <w:t>Most caretakers and some health workers acknowledged that the CUs were not active</w:t>
      </w:r>
      <w:r w:rsidR="00871BD0" w:rsidRPr="006E2801">
        <w:rPr>
          <w:rFonts w:cstheme="minorHAnsi"/>
          <w:sz w:val="20"/>
          <w:szCs w:val="20"/>
          <w:lang w:val="en-GB" w:eastAsia="en-GB"/>
        </w:rPr>
        <w:t>,</w:t>
      </w:r>
      <w:r w:rsidR="00405DFD" w:rsidRPr="006E2801">
        <w:rPr>
          <w:rFonts w:cstheme="minorHAnsi"/>
          <w:sz w:val="20"/>
          <w:szCs w:val="20"/>
          <w:lang w:val="en-GB" w:eastAsia="en-GB"/>
        </w:rPr>
        <w:t xml:space="preserve"> creating challenges for defaulter tracing and community sensitisation. In </w:t>
      </w:r>
      <w:r w:rsidR="00871BD0" w:rsidRPr="006E2801">
        <w:rPr>
          <w:rFonts w:cstheme="minorHAnsi"/>
          <w:sz w:val="20"/>
          <w:szCs w:val="20"/>
          <w:lang w:val="en-GB" w:eastAsia="en-GB"/>
        </w:rPr>
        <w:t xml:space="preserve">only one instance, </w:t>
      </w:r>
      <w:r w:rsidR="00405DFD" w:rsidRPr="006E2801">
        <w:rPr>
          <w:rFonts w:cstheme="minorHAnsi"/>
          <w:sz w:val="20"/>
          <w:szCs w:val="20"/>
          <w:lang w:val="en-GB" w:eastAsia="en-GB"/>
        </w:rPr>
        <w:t xml:space="preserve">the case of the </w:t>
      </w:r>
      <w:proofErr w:type="spellStart"/>
      <w:r w:rsidR="00405DFD" w:rsidRPr="006E2801">
        <w:rPr>
          <w:rFonts w:cstheme="minorHAnsi"/>
          <w:sz w:val="20"/>
          <w:szCs w:val="20"/>
          <w:lang w:val="en-GB" w:eastAsia="en-GB"/>
        </w:rPr>
        <w:t>Huruma</w:t>
      </w:r>
      <w:proofErr w:type="spellEnd"/>
      <w:r w:rsidR="00405DFD" w:rsidRPr="006E2801">
        <w:rPr>
          <w:rFonts w:cstheme="minorHAnsi"/>
          <w:sz w:val="20"/>
          <w:szCs w:val="20"/>
          <w:lang w:val="en-GB" w:eastAsia="en-GB"/>
        </w:rPr>
        <w:t xml:space="preserve"> Lions Health Centre, </w:t>
      </w:r>
      <w:r w:rsidR="00871BD0" w:rsidRPr="006E2801">
        <w:rPr>
          <w:rFonts w:cstheme="minorHAnsi"/>
          <w:sz w:val="20"/>
          <w:szCs w:val="20"/>
          <w:lang w:val="en-GB" w:eastAsia="en-GB"/>
        </w:rPr>
        <w:t xml:space="preserve">was </w:t>
      </w:r>
      <w:r w:rsidR="00405DFD" w:rsidRPr="006E2801">
        <w:rPr>
          <w:rFonts w:cstheme="minorHAnsi"/>
          <w:sz w:val="20"/>
          <w:szCs w:val="20"/>
          <w:lang w:val="en-GB" w:eastAsia="en-GB"/>
        </w:rPr>
        <w:t xml:space="preserve">the </w:t>
      </w:r>
      <w:r w:rsidR="00871BD0" w:rsidRPr="006E2801">
        <w:rPr>
          <w:rFonts w:cstheme="minorHAnsi"/>
          <w:sz w:val="20"/>
          <w:szCs w:val="20"/>
          <w:lang w:val="en-GB" w:eastAsia="en-GB"/>
        </w:rPr>
        <w:t>community health committee (</w:t>
      </w:r>
      <w:r w:rsidR="00405DFD" w:rsidRPr="006E2801">
        <w:rPr>
          <w:rFonts w:cstheme="minorHAnsi"/>
          <w:sz w:val="20"/>
          <w:szCs w:val="20"/>
          <w:lang w:val="en-GB" w:eastAsia="en-GB"/>
        </w:rPr>
        <w:t>CHC</w:t>
      </w:r>
      <w:r w:rsidR="00871BD0" w:rsidRPr="006E2801">
        <w:rPr>
          <w:rFonts w:cstheme="minorHAnsi"/>
          <w:sz w:val="20"/>
          <w:szCs w:val="20"/>
          <w:lang w:val="en-GB" w:eastAsia="en-GB"/>
        </w:rPr>
        <w:t>) referenced</w:t>
      </w:r>
      <w:r w:rsidR="00405DFD" w:rsidRPr="006E2801">
        <w:rPr>
          <w:rFonts w:cstheme="minorHAnsi"/>
          <w:sz w:val="20"/>
          <w:szCs w:val="20"/>
          <w:lang w:val="en-GB" w:eastAsia="en-GB"/>
        </w:rPr>
        <w:t xml:space="preserve"> in relation to efforts to contain the cholera outbreak in </w:t>
      </w:r>
      <w:proofErr w:type="spellStart"/>
      <w:r w:rsidR="00405DFD" w:rsidRPr="006E2801">
        <w:rPr>
          <w:rFonts w:cstheme="minorHAnsi"/>
          <w:sz w:val="20"/>
          <w:szCs w:val="20"/>
          <w:lang w:val="en-GB" w:eastAsia="en-GB"/>
        </w:rPr>
        <w:t>Mathare</w:t>
      </w:r>
      <w:proofErr w:type="spellEnd"/>
      <w:r w:rsidR="00405DFD" w:rsidRPr="006E2801">
        <w:rPr>
          <w:rFonts w:cstheme="minorHAnsi"/>
          <w:sz w:val="20"/>
          <w:szCs w:val="20"/>
          <w:lang w:val="en-GB" w:eastAsia="en-GB"/>
        </w:rPr>
        <w:t xml:space="preserve"> North. It was unclear if this level of engagement was sustained or motivated by the outbreak. Where the community health strategy is operating, it has </w:t>
      </w:r>
      <w:r w:rsidR="00405DFD" w:rsidRPr="006E2801">
        <w:rPr>
          <w:rFonts w:cstheme="minorHAnsi"/>
          <w:i/>
          <w:sz w:val="20"/>
          <w:szCs w:val="20"/>
          <w:lang w:val="en-GB" w:eastAsia="en-GB"/>
        </w:rPr>
        <w:t>“changed so many things in the health centre. Men are now coming with their wives”</w:t>
      </w:r>
      <w:r w:rsidR="00405DFD" w:rsidRPr="006E2801">
        <w:rPr>
          <w:rFonts w:cstheme="minorHAnsi"/>
          <w:sz w:val="20"/>
          <w:szCs w:val="20"/>
          <w:lang w:val="en-GB" w:eastAsia="en-GB"/>
        </w:rPr>
        <w:t xml:space="preserve">. (Health Worker, </w:t>
      </w:r>
      <w:proofErr w:type="spellStart"/>
      <w:r w:rsidR="00405DFD" w:rsidRPr="006E2801">
        <w:rPr>
          <w:rFonts w:cstheme="minorHAnsi"/>
          <w:sz w:val="20"/>
          <w:szCs w:val="20"/>
          <w:lang w:val="en-GB" w:eastAsia="en-GB"/>
        </w:rPr>
        <w:t>Huruma</w:t>
      </w:r>
      <w:proofErr w:type="spellEnd"/>
      <w:r w:rsidR="00405DFD" w:rsidRPr="006E2801">
        <w:rPr>
          <w:rFonts w:cstheme="minorHAnsi"/>
          <w:sz w:val="20"/>
          <w:szCs w:val="20"/>
          <w:lang w:val="en-GB" w:eastAsia="en-GB"/>
        </w:rPr>
        <w:t xml:space="preserve"> Lions Health Centre). </w:t>
      </w:r>
      <w:r w:rsidR="00871BD0" w:rsidRPr="006E2801">
        <w:rPr>
          <w:rFonts w:cstheme="minorHAnsi"/>
          <w:sz w:val="20"/>
          <w:szCs w:val="20"/>
          <w:lang w:val="en-GB" w:eastAsia="en-GB"/>
        </w:rPr>
        <w:t>It suggests that CUs, when functional, are a powerful tool for community engagement and sensitization. An area noted where intensified</w:t>
      </w:r>
      <w:r w:rsidR="00871BD0">
        <w:rPr>
          <w:rFonts w:cstheme="minorHAnsi"/>
          <w:sz w:val="20"/>
          <w:szCs w:val="20"/>
          <w:lang w:val="en-GB" w:eastAsia="en-GB"/>
        </w:rPr>
        <w:t xml:space="preserve"> health awareness is required is the utilisation of Baby Well Clinic services after the baby’s ninth month as thereafter most children do not attend unless they fall ill.  This is a missed opportunity for promoting optimal IYCF during the </w:t>
      </w:r>
      <w:r w:rsidR="00BE6FA3" w:rsidRPr="00BE6FA3">
        <w:rPr>
          <w:rFonts w:cstheme="minorHAnsi"/>
          <w:i/>
          <w:sz w:val="20"/>
          <w:szCs w:val="20"/>
          <w:lang w:val="en-GB" w:eastAsia="en-GB"/>
        </w:rPr>
        <w:t>entire</w:t>
      </w:r>
      <w:r w:rsidR="00BE6FA3">
        <w:rPr>
          <w:rFonts w:cstheme="minorHAnsi"/>
          <w:sz w:val="20"/>
          <w:szCs w:val="20"/>
          <w:lang w:val="en-GB" w:eastAsia="en-GB"/>
        </w:rPr>
        <w:t xml:space="preserve"> </w:t>
      </w:r>
      <w:r w:rsidR="00871BD0">
        <w:rPr>
          <w:rFonts w:cstheme="minorHAnsi"/>
          <w:sz w:val="20"/>
          <w:szCs w:val="20"/>
          <w:lang w:val="en-GB" w:eastAsia="en-GB"/>
        </w:rPr>
        <w:t xml:space="preserve">1,000 day period. </w:t>
      </w:r>
    </w:p>
    <w:p w14:paraId="3C9BA116" w14:textId="77777777" w:rsidR="000216C7" w:rsidRPr="00871BD0" w:rsidRDefault="000216C7" w:rsidP="00871BD0">
      <w:pPr>
        <w:pStyle w:val="Heading1"/>
        <w:numPr>
          <w:ilvl w:val="0"/>
          <w:numId w:val="11"/>
        </w:numPr>
        <w:rPr>
          <w:b/>
        </w:rPr>
      </w:pPr>
      <w:bookmarkStart w:id="44" w:name="_Toc428029673"/>
      <w:r w:rsidRPr="00871BD0">
        <w:rPr>
          <w:b/>
        </w:rPr>
        <w:t>Discussion</w:t>
      </w:r>
      <w:bookmarkEnd w:id="44"/>
    </w:p>
    <w:p w14:paraId="397FAD52" w14:textId="77777777" w:rsidR="00722D01" w:rsidRDefault="00722D01" w:rsidP="00B94733">
      <w:pPr>
        <w:spacing w:before="120" w:after="120"/>
        <w:rPr>
          <w:rFonts w:eastAsiaTheme="majorEastAsia" w:cstheme="minorHAnsi"/>
          <w:sz w:val="20"/>
          <w:szCs w:val="20"/>
        </w:rPr>
      </w:pPr>
      <w:r>
        <w:rPr>
          <w:rFonts w:cstheme="minorHAnsi"/>
          <w:sz w:val="20"/>
          <w:szCs w:val="20"/>
        </w:rPr>
        <w:t xml:space="preserve">As evidenced from </w:t>
      </w:r>
      <w:r w:rsidR="009F0219">
        <w:rPr>
          <w:rFonts w:cstheme="minorHAnsi"/>
          <w:sz w:val="20"/>
          <w:szCs w:val="20"/>
        </w:rPr>
        <w:t>Nairobi</w:t>
      </w:r>
      <w:r>
        <w:rPr>
          <w:rStyle w:val="FootnoteReference"/>
          <w:rFonts w:cstheme="minorHAnsi"/>
          <w:sz w:val="20"/>
          <w:szCs w:val="20"/>
        </w:rPr>
        <w:footnoteReference w:id="9"/>
      </w:r>
      <w:r>
        <w:rPr>
          <w:rFonts w:cstheme="minorHAnsi"/>
          <w:sz w:val="20"/>
          <w:szCs w:val="20"/>
        </w:rPr>
        <w:t>, and other rapidly urbanizing contexts, t</w:t>
      </w:r>
      <w:r w:rsidR="00AA71F6">
        <w:rPr>
          <w:rFonts w:cstheme="minorHAnsi"/>
          <w:sz w:val="20"/>
          <w:szCs w:val="20"/>
        </w:rPr>
        <w:t>he h</w:t>
      </w:r>
      <w:r w:rsidR="00AA71F6" w:rsidRPr="00AA71F6">
        <w:rPr>
          <w:rFonts w:cstheme="minorHAnsi"/>
          <w:sz w:val="20"/>
          <w:szCs w:val="20"/>
        </w:rPr>
        <w:t xml:space="preserve">ealth risks of unplanned </w:t>
      </w:r>
      <w:proofErr w:type="spellStart"/>
      <w:r w:rsidR="00AA71F6" w:rsidRPr="00AA71F6">
        <w:rPr>
          <w:rFonts w:cstheme="minorHAnsi"/>
          <w:sz w:val="20"/>
          <w:szCs w:val="20"/>
        </w:rPr>
        <w:t>urbanisation</w:t>
      </w:r>
      <w:proofErr w:type="spellEnd"/>
      <w:r w:rsidR="00AA71F6" w:rsidRPr="00AA71F6">
        <w:rPr>
          <w:rFonts w:cstheme="minorHAnsi"/>
          <w:sz w:val="20"/>
          <w:szCs w:val="20"/>
        </w:rPr>
        <w:t xml:space="preserve"> are disproportionately shouldered by the urban poor</w:t>
      </w:r>
      <w:r>
        <w:rPr>
          <w:rFonts w:cstheme="minorHAnsi"/>
          <w:sz w:val="20"/>
          <w:szCs w:val="20"/>
        </w:rPr>
        <w:t>.</w:t>
      </w:r>
      <w:r w:rsidR="00AA71F6" w:rsidRPr="00AA71F6">
        <w:t xml:space="preserve"> </w:t>
      </w:r>
      <w:r w:rsidR="00AA71F6" w:rsidRPr="00AA71F6">
        <w:rPr>
          <w:rFonts w:cstheme="minorHAnsi"/>
          <w:sz w:val="20"/>
          <w:szCs w:val="20"/>
        </w:rPr>
        <w:t xml:space="preserve">Given that the large majority of </w:t>
      </w:r>
      <w:r>
        <w:rPr>
          <w:rFonts w:cstheme="minorHAnsi"/>
          <w:sz w:val="20"/>
          <w:szCs w:val="20"/>
        </w:rPr>
        <w:t>informal settlement</w:t>
      </w:r>
      <w:r w:rsidR="00AA71F6" w:rsidRPr="00AA71F6">
        <w:rPr>
          <w:rFonts w:cstheme="minorHAnsi"/>
          <w:sz w:val="20"/>
          <w:szCs w:val="20"/>
        </w:rPr>
        <w:t xml:space="preserve"> </w:t>
      </w:r>
      <w:r>
        <w:rPr>
          <w:rFonts w:cstheme="minorHAnsi"/>
          <w:sz w:val="20"/>
          <w:szCs w:val="20"/>
        </w:rPr>
        <w:t xml:space="preserve">dwellers </w:t>
      </w:r>
      <w:r w:rsidR="00AA71F6" w:rsidRPr="00AA71F6">
        <w:rPr>
          <w:rFonts w:cstheme="minorHAnsi"/>
          <w:sz w:val="20"/>
          <w:szCs w:val="20"/>
        </w:rPr>
        <w:t xml:space="preserve">are involved in income generation activities during daytime hours, important attributes of health service delivery in poor urban settlements are </w:t>
      </w:r>
      <w:r w:rsidR="009F0219">
        <w:rPr>
          <w:rFonts w:cstheme="minorHAnsi"/>
          <w:sz w:val="20"/>
          <w:szCs w:val="20"/>
        </w:rPr>
        <w:t xml:space="preserve">the </w:t>
      </w:r>
      <w:r w:rsidR="00AA71F6" w:rsidRPr="00AA71F6">
        <w:rPr>
          <w:rFonts w:cstheme="minorHAnsi"/>
          <w:sz w:val="20"/>
          <w:szCs w:val="20"/>
        </w:rPr>
        <w:t>days and hours of service</w:t>
      </w:r>
      <w:r>
        <w:rPr>
          <w:rStyle w:val="FootnoteReference"/>
          <w:rFonts w:cstheme="minorHAnsi"/>
          <w:sz w:val="20"/>
          <w:szCs w:val="20"/>
        </w:rPr>
        <w:footnoteReference w:id="10"/>
      </w:r>
      <w:r w:rsidR="00BE6FA3">
        <w:rPr>
          <w:rFonts w:cstheme="minorHAnsi"/>
          <w:sz w:val="20"/>
          <w:szCs w:val="20"/>
        </w:rPr>
        <w:t>.</w:t>
      </w:r>
      <w:r>
        <w:rPr>
          <w:rFonts w:cstheme="minorHAnsi"/>
          <w:sz w:val="20"/>
          <w:szCs w:val="20"/>
        </w:rPr>
        <w:t xml:space="preserve"> It is further noted in the health seeking </w:t>
      </w:r>
      <w:proofErr w:type="spellStart"/>
      <w:r>
        <w:rPr>
          <w:rFonts w:cstheme="minorHAnsi"/>
          <w:sz w:val="20"/>
          <w:szCs w:val="20"/>
        </w:rPr>
        <w:t>behaviour</w:t>
      </w:r>
      <w:proofErr w:type="spellEnd"/>
      <w:r>
        <w:rPr>
          <w:rFonts w:cstheme="minorHAnsi"/>
          <w:sz w:val="20"/>
          <w:szCs w:val="20"/>
        </w:rPr>
        <w:t xml:space="preserve"> literature that, </w:t>
      </w:r>
      <w:r>
        <w:rPr>
          <w:rFonts w:eastAsiaTheme="majorEastAsia" w:cstheme="minorHAnsi"/>
          <w:i/>
          <w:sz w:val="20"/>
          <w:szCs w:val="20"/>
        </w:rPr>
        <w:t>“…</w:t>
      </w:r>
      <w:r w:rsidR="00297CE2" w:rsidRPr="004C0896">
        <w:rPr>
          <w:rFonts w:eastAsiaTheme="majorEastAsia" w:cstheme="minorHAnsi"/>
          <w:b/>
          <w:i/>
          <w:sz w:val="20"/>
          <w:szCs w:val="20"/>
        </w:rPr>
        <w:t>it is often the system itself which serves to limit an individual’s capacity to engage with it</w:t>
      </w:r>
      <w:r w:rsidR="00297CE2" w:rsidRPr="00297CE2">
        <w:rPr>
          <w:rFonts w:eastAsiaTheme="majorEastAsia" w:cstheme="minorHAnsi"/>
          <w:i/>
          <w:sz w:val="20"/>
          <w:szCs w:val="20"/>
        </w:rPr>
        <w:t>”</w:t>
      </w:r>
      <w:r w:rsidR="00297CE2">
        <w:rPr>
          <w:rStyle w:val="FootnoteReference"/>
          <w:rFonts w:eastAsiaTheme="majorEastAsia" w:cstheme="minorHAnsi"/>
          <w:i/>
          <w:sz w:val="20"/>
          <w:szCs w:val="20"/>
        </w:rPr>
        <w:footnoteReference w:id="11"/>
      </w:r>
      <w:r w:rsidR="00297CE2" w:rsidRPr="00297CE2">
        <w:rPr>
          <w:rFonts w:eastAsiaTheme="majorEastAsia" w:cstheme="minorHAnsi"/>
          <w:sz w:val="20"/>
          <w:szCs w:val="20"/>
        </w:rPr>
        <w:t>.</w:t>
      </w:r>
      <w:r w:rsidR="006E1520" w:rsidRPr="006E1520">
        <w:t xml:space="preserve"> </w:t>
      </w:r>
      <w:r>
        <w:t xml:space="preserve"> </w:t>
      </w:r>
      <w:proofErr w:type="spellStart"/>
      <w:r w:rsidR="006E1520" w:rsidRPr="006E1520">
        <w:rPr>
          <w:sz w:val="20"/>
          <w:szCs w:val="20"/>
        </w:rPr>
        <w:t>MacKian</w:t>
      </w:r>
      <w:proofErr w:type="spellEnd"/>
      <w:r w:rsidR="006E1520" w:rsidRPr="006E1520">
        <w:rPr>
          <w:sz w:val="20"/>
          <w:szCs w:val="20"/>
        </w:rPr>
        <w:t xml:space="preserve"> </w:t>
      </w:r>
      <w:r>
        <w:rPr>
          <w:sz w:val="20"/>
          <w:szCs w:val="20"/>
        </w:rPr>
        <w:t xml:space="preserve">(2003) </w:t>
      </w:r>
      <w:r>
        <w:rPr>
          <w:rFonts w:eastAsiaTheme="majorEastAsia" w:cstheme="minorHAnsi"/>
          <w:sz w:val="20"/>
          <w:szCs w:val="20"/>
        </w:rPr>
        <w:t>further suggests that we need</w:t>
      </w:r>
      <w:r w:rsidR="006E1520" w:rsidRPr="006E1520">
        <w:rPr>
          <w:rFonts w:eastAsiaTheme="majorEastAsia" w:cstheme="minorHAnsi"/>
          <w:sz w:val="20"/>
          <w:szCs w:val="20"/>
        </w:rPr>
        <w:t xml:space="preserve"> to develop a tool for understanding how populations engage with health systems, rather than using health seeking </w:t>
      </w:r>
      <w:proofErr w:type="spellStart"/>
      <w:r w:rsidR="006E1520" w:rsidRPr="006E1520">
        <w:rPr>
          <w:rFonts w:eastAsiaTheme="majorEastAsia" w:cstheme="minorHAnsi"/>
          <w:sz w:val="20"/>
          <w:szCs w:val="20"/>
        </w:rPr>
        <w:t>behaviour</w:t>
      </w:r>
      <w:proofErr w:type="spellEnd"/>
      <w:r w:rsidR="006E1520" w:rsidRPr="006E1520">
        <w:rPr>
          <w:rFonts w:eastAsiaTheme="majorEastAsia" w:cstheme="minorHAnsi"/>
          <w:sz w:val="20"/>
          <w:szCs w:val="20"/>
        </w:rPr>
        <w:t xml:space="preserve"> as a tool for describing how individuals engage with services. This</w:t>
      </w:r>
      <w:r>
        <w:rPr>
          <w:rFonts w:eastAsiaTheme="majorEastAsia" w:cstheme="minorHAnsi"/>
          <w:sz w:val="20"/>
          <w:szCs w:val="20"/>
        </w:rPr>
        <w:t>, in her opinion,</w:t>
      </w:r>
      <w:r w:rsidR="006E1520" w:rsidRPr="006E1520">
        <w:rPr>
          <w:rFonts w:eastAsiaTheme="majorEastAsia" w:cstheme="minorHAnsi"/>
          <w:sz w:val="20"/>
          <w:szCs w:val="20"/>
        </w:rPr>
        <w:t xml:space="preserve"> opens up into the broader arena of community organisation, social capital and citizenship; of political and non-political pressure points on the system.</w:t>
      </w:r>
      <w:r>
        <w:rPr>
          <w:rFonts w:eastAsiaTheme="majorEastAsia" w:cstheme="minorHAnsi"/>
          <w:sz w:val="20"/>
          <w:szCs w:val="20"/>
        </w:rPr>
        <w:t xml:space="preserve"> It aligns with WHO “optics” of people at the </w:t>
      </w:r>
      <w:proofErr w:type="spellStart"/>
      <w:r>
        <w:rPr>
          <w:rFonts w:eastAsiaTheme="majorEastAsia" w:cstheme="minorHAnsi"/>
          <w:sz w:val="20"/>
          <w:szCs w:val="20"/>
        </w:rPr>
        <w:t>centre</w:t>
      </w:r>
      <w:proofErr w:type="spellEnd"/>
      <w:r>
        <w:rPr>
          <w:rFonts w:eastAsiaTheme="majorEastAsia" w:cstheme="minorHAnsi"/>
          <w:sz w:val="20"/>
          <w:szCs w:val="20"/>
        </w:rPr>
        <w:t xml:space="preserve"> of the health system (Figure 1). </w:t>
      </w:r>
    </w:p>
    <w:p w14:paraId="722904F1" w14:textId="1D7ACC4C" w:rsidR="00722D01" w:rsidRDefault="00722D01" w:rsidP="00B94733">
      <w:pPr>
        <w:spacing w:before="120" w:after="120"/>
        <w:rPr>
          <w:rFonts w:eastAsiaTheme="majorEastAsia" w:cstheme="minorHAnsi"/>
          <w:sz w:val="20"/>
          <w:szCs w:val="20"/>
        </w:rPr>
      </w:pPr>
      <w:r>
        <w:rPr>
          <w:rFonts w:eastAsiaTheme="majorEastAsia" w:cstheme="minorHAnsi"/>
          <w:sz w:val="20"/>
          <w:szCs w:val="20"/>
        </w:rPr>
        <w:t xml:space="preserve">The analytical framework used in this review has been employed as one such tool in order to better understand supply and demand side barriers – and their interactions – to MCH service </w:t>
      </w:r>
      <w:proofErr w:type="spellStart"/>
      <w:r>
        <w:rPr>
          <w:rFonts w:eastAsiaTheme="majorEastAsia" w:cstheme="minorHAnsi"/>
          <w:sz w:val="20"/>
          <w:szCs w:val="20"/>
        </w:rPr>
        <w:t>utilisation</w:t>
      </w:r>
      <w:proofErr w:type="spellEnd"/>
      <w:r>
        <w:rPr>
          <w:rFonts w:eastAsiaTheme="majorEastAsia" w:cstheme="minorHAnsi"/>
          <w:sz w:val="20"/>
          <w:szCs w:val="20"/>
        </w:rPr>
        <w:t xml:space="preserve"> </w:t>
      </w:r>
      <w:r w:rsidR="008F1AAC">
        <w:rPr>
          <w:rFonts w:eastAsiaTheme="majorEastAsia" w:cstheme="minorHAnsi"/>
          <w:sz w:val="20"/>
          <w:szCs w:val="20"/>
        </w:rPr>
        <w:t xml:space="preserve">in the public sector </w:t>
      </w:r>
      <w:r>
        <w:rPr>
          <w:rFonts w:eastAsiaTheme="majorEastAsia" w:cstheme="minorHAnsi"/>
          <w:sz w:val="20"/>
          <w:szCs w:val="20"/>
        </w:rPr>
        <w:t xml:space="preserve">with specific attention to IMAM services. The review highlights considerable obstacles for </w:t>
      </w:r>
      <w:r w:rsidR="008F1AAC">
        <w:rPr>
          <w:rFonts w:eastAsiaTheme="majorEastAsia" w:cstheme="minorHAnsi"/>
          <w:sz w:val="20"/>
          <w:szCs w:val="20"/>
        </w:rPr>
        <w:t xml:space="preserve">the working poor, many of which could be overcome with greater orientation and </w:t>
      </w:r>
      <w:r w:rsidR="008F1AAC" w:rsidRPr="008F1AAC">
        <w:rPr>
          <w:rFonts w:eastAsiaTheme="majorEastAsia" w:cstheme="minorHAnsi"/>
          <w:sz w:val="20"/>
          <w:szCs w:val="20"/>
        </w:rPr>
        <w:t>accountability to</w:t>
      </w:r>
      <w:r w:rsidR="009F0219">
        <w:rPr>
          <w:rFonts w:eastAsiaTheme="majorEastAsia" w:cstheme="minorHAnsi"/>
          <w:sz w:val="20"/>
          <w:szCs w:val="20"/>
        </w:rPr>
        <w:t xml:space="preserve"> – as one Sub-County </w:t>
      </w:r>
      <w:r w:rsidR="00BE6FA3">
        <w:rPr>
          <w:rFonts w:eastAsiaTheme="majorEastAsia" w:cstheme="minorHAnsi"/>
          <w:sz w:val="20"/>
          <w:szCs w:val="20"/>
        </w:rPr>
        <w:t>Medical Officer</w:t>
      </w:r>
      <w:r w:rsidR="009F0219">
        <w:rPr>
          <w:rFonts w:eastAsiaTheme="majorEastAsia" w:cstheme="minorHAnsi"/>
          <w:sz w:val="20"/>
          <w:szCs w:val="20"/>
        </w:rPr>
        <w:t xml:space="preserve"> aptly reflected -</w:t>
      </w:r>
      <w:r w:rsidR="008F1AAC" w:rsidRPr="008F1AAC">
        <w:rPr>
          <w:rFonts w:eastAsiaTheme="majorEastAsia" w:cstheme="minorHAnsi"/>
          <w:sz w:val="20"/>
          <w:szCs w:val="20"/>
        </w:rPr>
        <w:t xml:space="preserve"> the child</w:t>
      </w:r>
      <w:r w:rsidR="008F1AAC">
        <w:rPr>
          <w:rFonts w:eastAsiaTheme="majorEastAsia" w:cstheme="minorHAnsi"/>
          <w:sz w:val="20"/>
          <w:szCs w:val="20"/>
        </w:rPr>
        <w:t xml:space="preserve">. While the review focused on public sector provision of MCH services, it should be </w:t>
      </w:r>
      <w:proofErr w:type="spellStart"/>
      <w:r w:rsidR="008F1AAC">
        <w:rPr>
          <w:rFonts w:eastAsiaTheme="majorEastAsia" w:cstheme="minorHAnsi"/>
          <w:sz w:val="20"/>
          <w:szCs w:val="20"/>
        </w:rPr>
        <w:t>recognised</w:t>
      </w:r>
      <w:proofErr w:type="spellEnd"/>
      <w:r w:rsidR="008F1AAC">
        <w:rPr>
          <w:rFonts w:eastAsiaTheme="majorEastAsia" w:cstheme="minorHAnsi"/>
          <w:sz w:val="20"/>
          <w:szCs w:val="20"/>
        </w:rPr>
        <w:t xml:space="preserve"> that the </w:t>
      </w:r>
      <w:r w:rsidR="008F1AAC" w:rsidRPr="00722D01">
        <w:rPr>
          <w:rFonts w:cstheme="minorHAnsi"/>
          <w:sz w:val="20"/>
          <w:szCs w:val="20"/>
        </w:rPr>
        <w:t xml:space="preserve">informal private sector has infiltrated slum settlements </w:t>
      </w:r>
      <w:r w:rsidR="002B618A">
        <w:rPr>
          <w:rFonts w:cstheme="minorHAnsi"/>
          <w:sz w:val="20"/>
          <w:szCs w:val="20"/>
        </w:rPr>
        <w:t xml:space="preserve">inadequately </w:t>
      </w:r>
      <w:r w:rsidR="002B618A" w:rsidRPr="002B618A">
        <w:rPr>
          <w:rFonts w:cstheme="minorHAnsi"/>
          <w:sz w:val="20"/>
          <w:szCs w:val="20"/>
        </w:rPr>
        <w:t xml:space="preserve">served </w:t>
      </w:r>
      <w:r w:rsidR="008F1AAC" w:rsidRPr="002B618A">
        <w:rPr>
          <w:rFonts w:cstheme="minorHAnsi"/>
          <w:sz w:val="20"/>
          <w:szCs w:val="20"/>
        </w:rPr>
        <w:t>by the formal health system,</w:t>
      </w:r>
      <w:r w:rsidR="008F1AAC" w:rsidRPr="00722D01">
        <w:rPr>
          <w:rFonts w:cstheme="minorHAnsi"/>
          <w:sz w:val="20"/>
          <w:szCs w:val="20"/>
        </w:rPr>
        <w:t xml:space="preserve"> providing longer service hours and convenient access to </w:t>
      </w:r>
      <w:r w:rsidR="008F1AAC">
        <w:rPr>
          <w:rFonts w:cstheme="minorHAnsi"/>
          <w:sz w:val="20"/>
          <w:szCs w:val="20"/>
        </w:rPr>
        <w:t xml:space="preserve">many of </w:t>
      </w:r>
      <w:r w:rsidR="008F1AAC" w:rsidRPr="00722D01">
        <w:rPr>
          <w:rFonts w:cstheme="minorHAnsi"/>
          <w:sz w:val="20"/>
          <w:szCs w:val="20"/>
        </w:rPr>
        <w:t>the working poor</w:t>
      </w:r>
      <w:r w:rsidR="008F1AAC">
        <w:rPr>
          <w:rStyle w:val="FootnoteReference"/>
          <w:rFonts w:cstheme="minorHAnsi"/>
          <w:sz w:val="20"/>
          <w:szCs w:val="20"/>
        </w:rPr>
        <w:footnoteReference w:id="12"/>
      </w:r>
      <w:r w:rsidR="008F1AAC">
        <w:rPr>
          <w:rFonts w:cstheme="minorHAnsi"/>
          <w:sz w:val="20"/>
          <w:szCs w:val="20"/>
        </w:rPr>
        <w:t>. T</w:t>
      </w:r>
      <w:r w:rsidRPr="00722D01">
        <w:rPr>
          <w:rFonts w:cstheme="minorHAnsi"/>
          <w:sz w:val="20"/>
          <w:szCs w:val="20"/>
        </w:rPr>
        <w:t xml:space="preserve">he </w:t>
      </w:r>
      <w:proofErr w:type="gramStart"/>
      <w:r w:rsidRPr="00722D01">
        <w:rPr>
          <w:rFonts w:cstheme="minorHAnsi"/>
          <w:sz w:val="20"/>
          <w:szCs w:val="20"/>
        </w:rPr>
        <w:t>downside of dependence on the unregulated informal system are</w:t>
      </w:r>
      <w:proofErr w:type="gramEnd"/>
      <w:r w:rsidRPr="00722D01">
        <w:rPr>
          <w:rFonts w:cstheme="minorHAnsi"/>
          <w:sz w:val="20"/>
          <w:szCs w:val="20"/>
        </w:rPr>
        <w:t xml:space="preserve"> issues of quality and rational care, both of which demand attention</w:t>
      </w:r>
      <w:r w:rsidR="008F1AAC">
        <w:rPr>
          <w:rStyle w:val="FootnoteReference"/>
          <w:rFonts w:cstheme="minorHAnsi"/>
          <w:sz w:val="20"/>
          <w:szCs w:val="20"/>
        </w:rPr>
        <w:footnoteReference w:id="13"/>
      </w:r>
      <w:r w:rsidR="008F1AAC">
        <w:rPr>
          <w:rFonts w:cstheme="minorHAnsi"/>
          <w:sz w:val="20"/>
          <w:szCs w:val="20"/>
        </w:rPr>
        <w:t xml:space="preserve"> but are outside the scope of this review.</w:t>
      </w:r>
      <w:r w:rsidRPr="00722D01">
        <w:rPr>
          <w:rFonts w:cstheme="minorHAnsi"/>
          <w:sz w:val="20"/>
          <w:szCs w:val="20"/>
        </w:rPr>
        <w:t xml:space="preserve"> </w:t>
      </w:r>
      <w:r w:rsidR="009F0219">
        <w:rPr>
          <w:rFonts w:cstheme="minorHAnsi"/>
          <w:sz w:val="20"/>
          <w:szCs w:val="20"/>
        </w:rPr>
        <w:t>However as some commentators note, f</w:t>
      </w:r>
      <w:r w:rsidR="009F0219" w:rsidRPr="00B94733">
        <w:rPr>
          <w:rFonts w:eastAsiaTheme="majorEastAsia" w:cstheme="minorHAnsi"/>
          <w:sz w:val="20"/>
          <w:szCs w:val="20"/>
        </w:rPr>
        <w:t xml:space="preserve">eatures of informal private sector </w:t>
      </w:r>
      <w:r w:rsidR="009F0219" w:rsidRPr="00B94733">
        <w:rPr>
          <w:rFonts w:eastAsiaTheme="majorEastAsia" w:cstheme="minorHAnsi"/>
          <w:sz w:val="20"/>
          <w:szCs w:val="20"/>
        </w:rPr>
        <w:lastRenderedPageBreak/>
        <w:t xml:space="preserve">service provision that have facilitated market penetration may be relevant in </w:t>
      </w:r>
      <w:r w:rsidR="009F0219" w:rsidRPr="00BE6FA3">
        <w:rPr>
          <w:rFonts w:eastAsiaTheme="majorEastAsia" w:cstheme="minorHAnsi"/>
          <w:b/>
          <w:sz w:val="20"/>
          <w:szCs w:val="20"/>
        </w:rPr>
        <w:t>designing formal services that better meet the needs of the urban poor</w:t>
      </w:r>
      <w:r w:rsidR="009F0219" w:rsidRPr="00B94733">
        <w:rPr>
          <w:rFonts w:eastAsiaTheme="majorEastAsia" w:cstheme="minorHAnsi"/>
          <w:sz w:val="20"/>
          <w:szCs w:val="20"/>
        </w:rPr>
        <w:t>.</w:t>
      </w:r>
      <w:r w:rsidR="009F0219">
        <w:rPr>
          <w:rFonts w:eastAsiaTheme="majorEastAsia" w:cstheme="minorHAnsi"/>
          <w:sz w:val="20"/>
          <w:szCs w:val="20"/>
        </w:rPr>
        <w:t xml:space="preserve"> </w:t>
      </w:r>
    </w:p>
    <w:p w14:paraId="2AAF8FCE" w14:textId="77777777" w:rsidR="00AC3F18" w:rsidRDefault="00AC3F18" w:rsidP="00F20CEA">
      <w:pPr>
        <w:pStyle w:val="Heading1"/>
        <w:numPr>
          <w:ilvl w:val="0"/>
          <w:numId w:val="11"/>
        </w:numPr>
        <w:rPr>
          <w:b/>
        </w:rPr>
      </w:pPr>
      <w:bookmarkStart w:id="45" w:name="_Toc428029674"/>
      <w:r>
        <w:rPr>
          <w:b/>
        </w:rPr>
        <w:t>Recommendations</w:t>
      </w:r>
      <w:bookmarkEnd w:id="45"/>
    </w:p>
    <w:p w14:paraId="2C2CAE39" w14:textId="77777777" w:rsidR="004C0896" w:rsidRDefault="004C0896" w:rsidP="00AC3F18">
      <w:pPr>
        <w:spacing w:before="120"/>
        <w:rPr>
          <w:rFonts w:eastAsiaTheme="majorEastAsia" w:cstheme="minorHAnsi"/>
          <w:sz w:val="20"/>
          <w:szCs w:val="20"/>
        </w:rPr>
      </w:pPr>
      <w:r>
        <w:rPr>
          <w:rFonts w:eastAsiaTheme="majorEastAsia" w:cstheme="minorHAnsi"/>
          <w:sz w:val="20"/>
          <w:szCs w:val="20"/>
        </w:rPr>
        <w:t xml:space="preserve">Findings from the review suggest that greater attention to </w:t>
      </w:r>
      <w:r w:rsidR="00F7122E">
        <w:rPr>
          <w:rFonts w:eastAsiaTheme="majorEastAsia" w:cstheme="minorHAnsi"/>
          <w:sz w:val="20"/>
          <w:szCs w:val="20"/>
        </w:rPr>
        <w:t xml:space="preserve">the </w:t>
      </w:r>
      <w:r w:rsidRPr="00BE6FA3">
        <w:rPr>
          <w:rFonts w:eastAsiaTheme="majorEastAsia" w:cstheme="minorHAnsi"/>
          <w:sz w:val="20"/>
          <w:szCs w:val="20"/>
        </w:rPr>
        <w:t xml:space="preserve">design </w:t>
      </w:r>
      <w:r w:rsidR="00420D96">
        <w:rPr>
          <w:rFonts w:eastAsiaTheme="majorEastAsia" w:cstheme="minorHAnsi"/>
          <w:sz w:val="20"/>
          <w:szCs w:val="20"/>
        </w:rPr>
        <w:t xml:space="preserve">and delivery </w:t>
      </w:r>
      <w:r>
        <w:rPr>
          <w:rFonts w:eastAsiaTheme="majorEastAsia" w:cstheme="minorHAnsi"/>
          <w:sz w:val="20"/>
          <w:szCs w:val="20"/>
        </w:rPr>
        <w:t xml:space="preserve">of </w:t>
      </w:r>
      <w:r w:rsidR="00B97FAA">
        <w:rPr>
          <w:rFonts w:eastAsiaTheme="majorEastAsia" w:cstheme="minorHAnsi"/>
          <w:sz w:val="20"/>
          <w:szCs w:val="20"/>
        </w:rPr>
        <w:t xml:space="preserve">both </w:t>
      </w:r>
      <w:r w:rsidR="00420D96">
        <w:rPr>
          <w:rFonts w:eastAsiaTheme="majorEastAsia" w:cstheme="minorHAnsi"/>
          <w:sz w:val="20"/>
          <w:szCs w:val="20"/>
        </w:rPr>
        <w:t>supply- and demand-side interventions</w:t>
      </w:r>
      <w:r>
        <w:rPr>
          <w:rFonts w:eastAsiaTheme="majorEastAsia" w:cstheme="minorHAnsi"/>
          <w:sz w:val="20"/>
          <w:szCs w:val="20"/>
        </w:rPr>
        <w:t xml:space="preserve"> is warranted in order that </w:t>
      </w:r>
      <w:r w:rsidR="00420D96">
        <w:rPr>
          <w:rFonts w:eastAsiaTheme="majorEastAsia" w:cstheme="minorHAnsi"/>
          <w:sz w:val="20"/>
          <w:szCs w:val="20"/>
        </w:rPr>
        <w:t>services</w:t>
      </w:r>
      <w:r>
        <w:rPr>
          <w:rFonts w:eastAsiaTheme="majorEastAsia" w:cstheme="minorHAnsi"/>
          <w:sz w:val="20"/>
          <w:szCs w:val="20"/>
        </w:rPr>
        <w:t xml:space="preserve"> are more accountable to clients and </w:t>
      </w:r>
      <w:r w:rsidR="00420D96">
        <w:rPr>
          <w:rFonts w:eastAsiaTheme="majorEastAsia" w:cstheme="minorHAnsi"/>
          <w:sz w:val="20"/>
          <w:szCs w:val="20"/>
        </w:rPr>
        <w:t>child-</w:t>
      </w:r>
      <w:proofErr w:type="spellStart"/>
      <w:r w:rsidR="00420D96">
        <w:rPr>
          <w:rFonts w:eastAsiaTheme="majorEastAsia" w:cstheme="minorHAnsi"/>
          <w:sz w:val="20"/>
          <w:szCs w:val="20"/>
        </w:rPr>
        <w:t>centred</w:t>
      </w:r>
      <w:proofErr w:type="spellEnd"/>
      <w:r>
        <w:rPr>
          <w:rFonts w:eastAsiaTheme="majorEastAsia" w:cstheme="minorHAnsi"/>
          <w:sz w:val="20"/>
          <w:szCs w:val="20"/>
        </w:rPr>
        <w:t xml:space="preserve">.  </w:t>
      </w:r>
      <w:r w:rsidR="00D32CF9">
        <w:rPr>
          <w:rFonts w:eastAsiaTheme="majorEastAsia" w:cstheme="minorHAnsi"/>
          <w:sz w:val="20"/>
          <w:szCs w:val="20"/>
        </w:rPr>
        <w:t>Intervention focus and barriers addressed are presented in</w:t>
      </w:r>
      <w:r w:rsidR="00420D96">
        <w:rPr>
          <w:rFonts w:eastAsiaTheme="majorEastAsia" w:cstheme="minorHAnsi"/>
          <w:sz w:val="20"/>
          <w:szCs w:val="20"/>
        </w:rPr>
        <w:t xml:space="preserve"> </w:t>
      </w:r>
      <w:r w:rsidR="00F7122E">
        <w:rPr>
          <w:rFonts w:eastAsiaTheme="majorEastAsia" w:cstheme="minorHAnsi"/>
          <w:sz w:val="20"/>
          <w:szCs w:val="20"/>
        </w:rPr>
        <w:t xml:space="preserve">Table </w:t>
      </w:r>
      <w:r w:rsidR="00A54E22">
        <w:rPr>
          <w:rFonts w:eastAsiaTheme="majorEastAsia" w:cstheme="minorHAnsi"/>
          <w:sz w:val="20"/>
          <w:szCs w:val="20"/>
        </w:rPr>
        <w:t>4</w:t>
      </w:r>
      <w:r w:rsidR="00D32CF9">
        <w:rPr>
          <w:rFonts w:eastAsiaTheme="majorEastAsia" w:cstheme="minorHAnsi"/>
          <w:sz w:val="20"/>
          <w:szCs w:val="20"/>
        </w:rPr>
        <w:t xml:space="preserve">. These are </w:t>
      </w:r>
      <w:r w:rsidR="00420D96">
        <w:rPr>
          <w:rFonts w:eastAsiaTheme="majorEastAsia" w:cstheme="minorHAnsi"/>
          <w:sz w:val="20"/>
          <w:szCs w:val="20"/>
        </w:rPr>
        <w:t xml:space="preserve">further elaborated </w:t>
      </w:r>
      <w:r w:rsidR="00D32CF9">
        <w:rPr>
          <w:rFonts w:eastAsiaTheme="majorEastAsia" w:cstheme="minorHAnsi"/>
          <w:sz w:val="20"/>
          <w:szCs w:val="20"/>
        </w:rPr>
        <w:t>as</w:t>
      </w:r>
      <w:r w:rsidR="00B97FAA">
        <w:rPr>
          <w:rFonts w:eastAsiaTheme="majorEastAsia" w:cstheme="minorHAnsi"/>
          <w:sz w:val="20"/>
          <w:szCs w:val="20"/>
        </w:rPr>
        <w:t xml:space="preserve"> recommendations</w:t>
      </w:r>
      <w:r w:rsidR="00F7122E">
        <w:rPr>
          <w:rFonts w:eastAsiaTheme="majorEastAsia" w:cstheme="minorHAnsi"/>
          <w:sz w:val="20"/>
          <w:szCs w:val="20"/>
        </w:rPr>
        <w:t xml:space="preserve">. </w:t>
      </w:r>
    </w:p>
    <w:p w14:paraId="4924991F" w14:textId="77777777" w:rsidR="00B97FAA" w:rsidRDefault="00B97FAA" w:rsidP="00F7122E">
      <w:pPr>
        <w:pStyle w:val="Caption"/>
        <w:spacing w:before="120" w:after="120"/>
        <w:rPr>
          <w:sz w:val="16"/>
          <w:szCs w:val="16"/>
        </w:rPr>
      </w:pPr>
    </w:p>
    <w:p w14:paraId="1C1320FE" w14:textId="77777777" w:rsidR="00B97FAA" w:rsidRDefault="00B97FAA" w:rsidP="00F7122E">
      <w:pPr>
        <w:pStyle w:val="Caption"/>
        <w:spacing w:before="120" w:after="120"/>
        <w:rPr>
          <w:sz w:val="16"/>
          <w:szCs w:val="16"/>
        </w:rPr>
      </w:pPr>
    </w:p>
    <w:p w14:paraId="24E564E0" w14:textId="77777777" w:rsidR="00B97FAA" w:rsidRDefault="00B97FAA" w:rsidP="00F7122E">
      <w:pPr>
        <w:pStyle w:val="Caption"/>
        <w:spacing w:before="120" w:after="120"/>
        <w:rPr>
          <w:sz w:val="16"/>
          <w:szCs w:val="16"/>
        </w:rPr>
      </w:pPr>
    </w:p>
    <w:p w14:paraId="0F5BAC7C" w14:textId="77777777" w:rsidR="00F7122E" w:rsidRPr="00F7122E" w:rsidRDefault="00F7122E" w:rsidP="00F7122E">
      <w:pPr>
        <w:pStyle w:val="Caption"/>
        <w:spacing w:before="120" w:after="120"/>
        <w:rPr>
          <w:rFonts w:eastAsiaTheme="majorEastAsia" w:cstheme="minorHAnsi"/>
          <w:sz w:val="16"/>
          <w:szCs w:val="16"/>
        </w:rPr>
      </w:pPr>
      <w:r w:rsidRPr="00F7122E">
        <w:rPr>
          <w:sz w:val="16"/>
          <w:szCs w:val="16"/>
        </w:rPr>
        <w:t xml:space="preserve">Table </w:t>
      </w:r>
      <w:r w:rsidRPr="00F7122E">
        <w:rPr>
          <w:sz w:val="16"/>
          <w:szCs w:val="16"/>
        </w:rPr>
        <w:fldChar w:fldCharType="begin"/>
      </w:r>
      <w:r w:rsidRPr="00F7122E">
        <w:rPr>
          <w:sz w:val="16"/>
          <w:szCs w:val="16"/>
        </w:rPr>
        <w:instrText xml:space="preserve"> SEQ Table \* ARABIC </w:instrText>
      </w:r>
      <w:r w:rsidRPr="00F7122E">
        <w:rPr>
          <w:sz w:val="16"/>
          <w:szCs w:val="16"/>
        </w:rPr>
        <w:fldChar w:fldCharType="separate"/>
      </w:r>
      <w:r w:rsidR="00D47127">
        <w:rPr>
          <w:noProof/>
          <w:sz w:val="16"/>
          <w:szCs w:val="16"/>
        </w:rPr>
        <w:t>4</w:t>
      </w:r>
      <w:r w:rsidRPr="00F7122E">
        <w:rPr>
          <w:sz w:val="16"/>
          <w:szCs w:val="16"/>
        </w:rPr>
        <w:fldChar w:fldCharType="end"/>
      </w:r>
      <w:r w:rsidRPr="00F7122E">
        <w:rPr>
          <w:sz w:val="16"/>
          <w:szCs w:val="16"/>
        </w:rPr>
        <w:t>: Design considerations for greater child-</w:t>
      </w:r>
      <w:proofErr w:type="spellStart"/>
      <w:r w:rsidRPr="00F7122E">
        <w:rPr>
          <w:sz w:val="16"/>
          <w:szCs w:val="16"/>
        </w:rPr>
        <w:t>centred</w:t>
      </w:r>
      <w:proofErr w:type="spellEnd"/>
      <w:r w:rsidRPr="00F7122E">
        <w:rPr>
          <w:sz w:val="16"/>
          <w:szCs w:val="16"/>
        </w:rPr>
        <w:t xml:space="preserve"> services</w:t>
      </w:r>
    </w:p>
    <w:tbl>
      <w:tblPr>
        <w:tblW w:w="936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597"/>
        <w:gridCol w:w="2880"/>
        <w:gridCol w:w="3093"/>
        <w:gridCol w:w="2790"/>
      </w:tblGrid>
      <w:tr w:rsidR="00F7122E" w:rsidRPr="00383533" w14:paraId="303D0850" w14:textId="77777777" w:rsidTr="007E6865">
        <w:tc>
          <w:tcPr>
            <w:tcW w:w="597" w:type="dxa"/>
            <w:vMerge w:val="restart"/>
            <w:shd w:val="clear" w:color="auto" w:fill="1F3864" w:themeFill="accent5" w:themeFillShade="80"/>
            <w:textDirection w:val="btLr"/>
          </w:tcPr>
          <w:p w14:paraId="4AF4D2FC" w14:textId="77777777" w:rsidR="00F7122E" w:rsidRPr="00383533" w:rsidRDefault="00F7122E" w:rsidP="00B97FAA">
            <w:pPr>
              <w:autoSpaceDE w:val="0"/>
              <w:autoSpaceDN w:val="0"/>
              <w:adjustRightInd w:val="0"/>
              <w:ind w:left="115" w:right="115"/>
              <w:jc w:val="center"/>
              <w:rPr>
                <w:rFonts w:ascii="Arial" w:hAnsi="Arial" w:cs="Arial"/>
                <w:color w:val="FFFFFF"/>
                <w:sz w:val="18"/>
                <w:szCs w:val="18"/>
                <w:lang w:val="en-GB" w:eastAsia="en-GB"/>
              </w:rPr>
            </w:pPr>
            <w:r>
              <w:rPr>
                <w:rFonts w:ascii="Arial" w:hAnsi="Arial" w:cs="Arial"/>
                <w:color w:val="FFFFFF"/>
                <w:sz w:val="18"/>
                <w:szCs w:val="18"/>
                <w:lang w:val="en-GB" w:eastAsia="en-GB"/>
              </w:rPr>
              <w:t>Demand</w:t>
            </w:r>
          </w:p>
        </w:tc>
        <w:tc>
          <w:tcPr>
            <w:tcW w:w="2880" w:type="dxa"/>
            <w:shd w:val="clear" w:color="auto" w:fill="17365D"/>
          </w:tcPr>
          <w:p w14:paraId="2D4EE165" w14:textId="77777777" w:rsidR="00F7122E" w:rsidRPr="00383533" w:rsidRDefault="00F7122E" w:rsidP="00B97FAA">
            <w:pPr>
              <w:autoSpaceDE w:val="0"/>
              <w:autoSpaceDN w:val="0"/>
              <w:adjustRightInd w:val="0"/>
              <w:spacing w:before="120" w:after="120"/>
              <w:rPr>
                <w:rFonts w:ascii="Arial" w:hAnsi="Arial" w:cs="Arial"/>
                <w:color w:val="FFFFFF"/>
                <w:sz w:val="18"/>
                <w:szCs w:val="18"/>
                <w:lang w:val="en-GB" w:eastAsia="en-GB"/>
              </w:rPr>
            </w:pPr>
            <w:r>
              <w:rPr>
                <w:rFonts w:ascii="Arial" w:hAnsi="Arial" w:cs="Arial"/>
                <w:color w:val="FFFFFF"/>
                <w:sz w:val="18"/>
                <w:szCs w:val="18"/>
                <w:lang w:val="en-GB" w:eastAsia="en-GB"/>
              </w:rPr>
              <w:t>Geographic accessibility</w:t>
            </w:r>
          </w:p>
        </w:tc>
        <w:tc>
          <w:tcPr>
            <w:tcW w:w="3093" w:type="dxa"/>
            <w:shd w:val="clear" w:color="auto" w:fill="17365D"/>
          </w:tcPr>
          <w:p w14:paraId="46299CFC" w14:textId="77777777" w:rsidR="00F7122E" w:rsidRPr="00383533" w:rsidRDefault="00F7122E" w:rsidP="00B97FAA">
            <w:pPr>
              <w:autoSpaceDE w:val="0"/>
              <w:autoSpaceDN w:val="0"/>
              <w:adjustRightInd w:val="0"/>
              <w:spacing w:before="120" w:after="120"/>
              <w:rPr>
                <w:rFonts w:ascii="Arial" w:hAnsi="Arial" w:cs="Arial"/>
                <w:color w:val="FFFFFF"/>
                <w:sz w:val="18"/>
                <w:szCs w:val="18"/>
                <w:lang w:val="en-GB" w:eastAsia="en-GB"/>
              </w:rPr>
            </w:pPr>
            <w:r>
              <w:rPr>
                <w:rFonts w:ascii="Arial" w:hAnsi="Arial" w:cs="Arial"/>
                <w:color w:val="FFFFFF"/>
                <w:sz w:val="18"/>
                <w:szCs w:val="18"/>
                <w:lang w:val="en-GB" w:eastAsia="en-GB"/>
              </w:rPr>
              <w:t>Availability</w:t>
            </w:r>
          </w:p>
        </w:tc>
        <w:tc>
          <w:tcPr>
            <w:tcW w:w="2790" w:type="dxa"/>
            <w:shd w:val="clear" w:color="auto" w:fill="17365D"/>
          </w:tcPr>
          <w:p w14:paraId="4578395A" w14:textId="77777777" w:rsidR="00F7122E" w:rsidRPr="00383533" w:rsidRDefault="00F7122E" w:rsidP="00B97FAA">
            <w:pPr>
              <w:autoSpaceDE w:val="0"/>
              <w:autoSpaceDN w:val="0"/>
              <w:adjustRightInd w:val="0"/>
              <w:spacing w:before="120" w:after="120"/>
              <w:rPr>
                <w:rFonts w:ascii="Arial" w:hAnsi="Arial" w:cs="Arial"/>
                <w:color w:val="FFFFFF"/>
                <w:sz w:val="18"/>
                <w:szCs w:val="18"/>
                <w:lang w:val="en-GB" w:eastAsia="en-GB"/>
              </w:rPr>
            </w:pPr>
            <w:r>
              <w:rPr>
                <w:rFonts w:ascii="Arial" w:hAnsi="Arial" w:cs="Arial"/>
                <w:color w:val="FFFFFF"/>
                <w:sz w:val="18"/>
                <w:szCs w:val="18"/>
                <w:lang w:val="en-GB" w:eastAsia="en-GB"/>
              </w:rPr>
              <w:t>Acceptability</w:t>
            </w:r>
          </w:p>
        </w:tc>
      </w:tr>
      <w:tr w:rsidR="00F7122E" w:rsidRPr="00AA71F6" w14:paraId="514901DC" w14:textId="77777777" w:rsidTr="007E6865">
        <w:tc>
          <w:tcPr>
            <w:tcW w:w="597" w:type="dxa"/>
            <w:vMerge/>
            <w:shd w:val="clear" w:color="auto" w:fill="BFBFBF" w:themeFill="background1" w:themeFillShade="BF"/>
          </w:tcPr>
          <w:p w14:paraId="3074BE01" w14:textId="77777777" w:rsidR="00F7122E" w:rsidRPr="00383533" w:rsidRDefault="00F7122E" w:rsidP="00B97FAA">
            <w:pPr>
              <w:autoSpaceDE w:val="0"/>
              <w:autoSpaceDN w:val="0"/>
              <w:adjustRightInd w:val="0"/>
              <w:spacing w:before="60" w:after="60"/>
              <w:jc w:val="center"/>
              <w:rPr>
                <w:rFonts w:ascii="Arial" w:hAnsi="Arial" w:cs="Arial"/>
                <w:sz w:val="18"/>
                <w:szCs w:val="18"/>
                <w:lang w:val="en-GB" w:eastAsia="en-GB"/>
              </w:rPr>
            </w:pPr>
          </w:p>
        </w:tc>
        <w:tc>
          <w:tcPr>
            <w:tcW w:w="2880" w:type="dxa"/>
            <w:shd w:val="clear" w:color="auto" w:fill="BFBFBF" w:themeFill="background1" w:themeFillShade="BF"/>
          </w:tcPr>
          <w:p w14:paraId="09A9F725" w14:textId="77777777" w:rsidR="00F7122E" w:rsidRPr="00383533" w:rsidRDefault="00F7122E" w:rsidP="00B97FAA">
            <w:pPr>
              <w:autoSpaceDE w:val="0"/>
              <w:autoSpaceDN w:val="0"/>
              <w:adjustRightInd w:val="0"/>
              <w:spacing w:before="120" w:after="120"/>
              <w:jc w:val="left"/>
              <w:rPr>
                <w:rFonts w:ascii="Arial" w:hAnsi="Arial" w:cs="Arial"/>
                <w:sz w:val="18"/>
                <w:szCs w:val="18"/>
                <w:lang w:val="en-GB"/>
              </w:rPr>
            </w:pPr>
          </w:p>
        </w:tc>
        <w:tc>
          <w:tcPr>
            <w:tcW w:w="3093" w:type="dxa"/>
            <w:shd w:val="clear" w:color="auto" w:fill="BFBFBF" w:themeFill="background1" w:themeFillShade="BF"/>
          </w:tcPr>
          <w:p w14:paraId="587B048E" w14:textId="77777777" w:rsidR="00F7122E" w:rsidRPr="00AA71F6" w:rsidRDefault="00F7122E" w:rsidP="00B97FAA">
            <w:pPr>
              <w:autoSpaceDE w:val="0"/>
              <w:autoSpaceDN w:val="0"/>
              <w:adjustRightInd w:val="0"/>
              <w:spacing w:before="120" w:after="120"/>
              <w:jc w:val="left"/>
              <w:rPr>
                <w:rFonts w:ascii="Arial" w:hAnsi="Arial" w:cs="Arial"/>
                <w:sz w:val="16"/>
                <w:szCs w:val="16"/>
                <w:lang w:val="en-GB"/>
              </w:rPr>
            </w:pPr>
            <w:r>
              <w:rPr>
                <w:rFonts w:ascii="Arial" w:hAnsi="Arial" w:cs="Arial"/>
                <w:sz w:val="16"/>
                <w:szCs w:val="16"/>
                <w:lang w:val="en-GB"/>
              </w:rPr>
              <w:t>C</w:t>
            </w:r>
            <w:r w:rsidRPr="00AA71F6">
              <w:rPr>
                <w:rFonts w:ascii="Arial" w:hAnsi="Arial" w:cs="Arial"/>
                <w:sz w:val="16"/>
                <w:szCs w:val="16"/>
                <w:lang w:val="en-GB"/>
              </w:rPr>
              <w:t>ounselling and information</w:t>
            </w:r>
          </w:p>
        </w:tc>
        <w:tc>
          <w:tcPr>
            <w:tcW w:w="2790" w:type="dxa"/>
            <w:shd w:val="clear" w:color="auto" w:fill="BFBFBF" w:themeFill="background1" w:themeFillShade="BF"/>
          </w:tcPr>
          <w:p w14:paraId="026AABAF" w14:textId="77777777" w:rsidR="00F7122E" w:rsidRPr="00AA71F6" w:rsidRDefault="00F7122E" w:rsidP="00B97FAA">
            <w:pPr>
              <w:autoSpaceDE w:val="0"/>
              <w:autoSpaceDN w:val="0"/>
              <w:adjustRightInd w:val="0"/>
              <w:spacing w:before="120" w:after="120"/>
              <w:jc w:val="left"/>
              <w:rPr>
                <w:rFonts w:ascii="Arial" w:hAnsi="Arial" w:cs="Arial"/>
                <w:sz w:val="16"/>
                <w:szCs w:val="16"/>
                <w:lang w:val="en-GB"/>
              </w:rPr>
            </w:pPr>
            <w:r>
              <w:rPr>
                <w:rFonts w:ascii="Arial" w:hAnsi="Arial" w:cs="Arial"/>
                <w:sz w:val="16"/>
                <w:szCs w:val="16"/>
                <w:lang w:val="en-GB"/>
              </w:rPr>
              <w:t>C</w:t>
            </w:r>
            <w:r w:rsidRPr="00AA71F6">
              <w:rPr>
                <w:rFonts w:ascii="Arial" w:hAnsi="Arial" w:cs="Arial"/>
                <w:sz w:val="16"/>
                <w:szCs w:val="16"/>
                <w:lang w:val="en-GB"/>
              </w:rPr>
              <w:t>ounselling and information</w:t>
            </w:r>
          </w:p>
        </w:tc>
      </w:tr>
      <w:tr w:rsidR="00F7122E" w:rsidRPr="00AA71F6" w14:paraId="3EDC4C03" w14:textId="77777777" w:rsidTr="007E6865">
        <w:tc>
          <w:tcPr>
            <w:tcW w:w="597" w:type="dxa"/>
            <w:vMerge/>
            <w:shd w:val="clear" w:color="auto" w:fill="BFBFBF" w:themeFill="background1" w:themeFillShade="BF"/>
          </w:tcPr>
          <w:p w14:paraId="78D931FB" w14:textId="77777777" w:rsidR="00F7122E" w:rsidRPr="00383533" w:rsidRDefault="00F7122E" w:rsidP="00B97FAA">
            <w:pPr>
              <w:autoSpaceDE w:val="0"/>
              <w:autoSpaceDN w:val="0"/>
              <w:adjustRightInd w:val="0"/>
              <w:spacing w:before="60" w:after="60"/>
              <w:jc w:val="center"/>
              <w:rPr>
                <w:rFonts w:ascii="Arial" w:hAnsi="Arial" w:cs="Arial"/>
                <w:sz w:val="18"/>
                <w:szCs w:val="18"/>
                <w:lang w:val="en-GB" w:eastAsia="en-GB"/>
              </w:rPr>
            </w:pPr>
          </w:p>
        </w:tc>
        <w:tc>
          <w:tcPr>
            <w:tcW w:w="2880" w:type="dxa"/>
            <w:shd w:val="clear" w:color="auto" w:fill="BFBFBF" w:themeFill="background1" w:themeFillShade="BF"/>
          </w:tcPr>
          <w:p w14:paraId="3F5F71F4" w14:textId="77777777" w:rsidR="00F7122E" w:rsidRPr="00AA71F6" w:rsidRDefault="00B97FAA" w:rsidP="00B97FAA">
            <w:pPr>
              <w:spacing w:before="60" w:after="60"/>
              <w:jc w:val="left"/>
              <w:rPr>
                <w:rFonts w:ascii="Arial" w:hAnsi="Arial" w:cs="Arial"/>
                <w:sz w:val="16"/>
                <w:szCs w:val="16"/>
                <w:lang w:val="en-GB" w:eastAsia="en-GB"/>
              </w:rPr>
            </w:pPr>
            <w:r>
              <w:rPr>
                <w:rFonts w:ascii="Arial" w:hAnsi="Arial" w:cs="Arial"/>
                <w:sz w:val="16"/>
                <w:szCs w:val="16"/>
                <w:lang w:val="en-GB" w:eastAsia="en-GB"/>
              </w:rPr>
              <w:t>Community units</w:t>
            </w:r>
          </w:p>
        </w:tc>
        <w:tc>
          <w:tcPr>
            <w:tcW w:w="3093" w:type="dxa"/>
            <w:shd w:val="clear" w:color="auto" w:fill="BFBFBF" w:themeFill="background1" w:themeFillShade="BF"/>
          </w:tcPr>
          <w:p w14:paraId="4BA37C93" w14:textId="77777777" w:rsidR="00F7122E" w:rsidRPr="00AA71F6" w:rsidRDefault="00F7122E" w:rsidP="00B97FAA">
            <w:pPr>
              <w:spacing w:before="60" w:after="60"/>
              <w:jc w:val="left"/>
              <w:rPr>
                <w:rFonts w:ascii="Arial" w:hAnsi="Arial" w:cs="Arial"/>
                <w:sz w:val="16"/>
                <w:szCs w:val="16"/>
                <w:lang w:val="en-GB" w:eastAsia="en-GB"/>
              </w:rPr>
            </w:pPr>
            <w:r>
              <w:rPr>
                <w:rFonts w:ascii="Arial" w:hAnsi="Arial" w:cs="Arial"/>
                <w:sz w:val="16"/>
                <w:szCs w:val="16"/>
                <w:lang w:val="en-GB" w:eastAsia="en-GB"/>
              </w:rPr>
              <w:t xml:space="preserve">Community </w:t>
            </w:r>
            <w:r w:rsidR="00B97FAA">
              <w:rPr>
                <w:rFonts w:ascii="Arial" w:hAnsi="Arial" w:cs="Arial"/>
                <w:sz w:val="16"/>
                <w:szCs w:val="16"/>
                <w:lang w:val="en-GB" w:eastAsia="en-GB"/>
              </w:rPr>
              <w:t>engagement</w:t>
            </w:r>
          </w:p>
        </w:tc>
        <w:tc>
          <w:tcPr>
            <w:tcW w:w="2790" w:type="dxa"/>
            <w:shd w:val="clear" w:color="auto" w:fill="BFBFBF" w:themeFill="background1" w:themeFillShade="BF"/>
          </w:tcPr>
          <w:p w14:paraId="59EEF28F" w14:textId="77777777" w:rsidR="00F7122E" w:rsidRPr="00AA71F6" w:rsidRDefault="00F7122E" w:rsidP="00076148">
            <w:pPr>
              <w:spacing w:before="60" w:after="60"/>
              <w:jc w:val="left"/>
              <w:rPr>
                <w:rFonts w:ascii="Arial" w:hAnsi="Arial" w:cs="Arial"/>
                <w:sz w:val="16"/>
                <w:szCs w:val="16"/>
                <w:lang w:val="en-GB" w:eastAsia="en-GB"/>
              </w:rPr>
            </w:pPr>
            <w:r>
              <w:rPr>
                <w:rFonts w:ascii="Arial" w:hAnsi="Arial" w:cs="Arial"/>
                <w:sz w:val="16"/>
                <w:szCs w:val="16"/>
                <w:lang w:val="en-GB" w:eastAsia="en-GB"/>
              </w:rPr>
              <w:t xml:space="preserve">Client </w:t>
            </w:r>
            <w:r w:rsidR="00076148">
              <w:rPr>
                <w:rFonts w:ascii="Arial" w:hAnsi="Arial" w:cs="Arial"/>
                <w:sz w:val="16"/>
                <w:szCs w:val="16"/>
                <w:lang w:val="en-GB" w:eastAsia="en-GB"/>
              </w:rPr>
              <w:t xml:space="preserve">voice and accountability </w:t>
            </w:r>
          </w:p>
        </w:tc>
      </w:tr>
      <w:tr w:rsidR="00F7122E" w:rsidRPr="00AA71F6" w14:paraId="60E1DE44" w14:textId="77777777" w:rsidTr="007E6865">
        <w:tc>
          <w:tcPr>
            <w:tcW w:w="597" w:type="dxa"/>
            <w:vMerge w:val="restart"/>
            <w:shd w:val="clear" w:color="auto" w:fill="1F3864" w:themeFill="accent5" w:themeFillShade="80"/>
            <w:textDirection w:val="btLr"/>
          </w:tcPr>
          <w:p w14:paraId="245CF6CB" w14:textId="77777777" w:rsidR="00F7122E" w:rsidRPr="00383533" w:rsidRDefault="00F7122E" w:rsidP="00B97FAA">
            <w:pPr>
              <w:autoSpaceDE w:val="0"/>
              <w:autoSpaceDN w:val="0"/>
              <w:adjustRightInd w:val="0"/>
              <w:spacing w:before="60" w:after="60"/>
              <w:ind w:left="113" w:right="113"/>
              <w:jc w:val="center"/>
              <w:rPr>
                <w:rFonts w:ascii="Arial" w:hAnsi="Arial" w:cs="Arial"/>
                <w:sz w:val="18"/>
                <w:szCs w:val="18"/>
                <w:lang w:val="en-GB" w:eastAsia="en-GB"/>
              </w:rPr>
            </w:pPr>
            <w:r>
              <w:rPr>
                <w:rFonts w:ascii="Arial" w:hAnsi="Arial" w:cs="Arial"/>
                <w:sz w:val="18"/>
                <w:szCs w:val="18"/>
                <w:lang w:val="en-GB" w:eastAsia="en-GB"/>
              </w:rPr>
              <w:t>Supply</w:t>
            </w:r>
          </w:p>
        </w:tc>
        <w:tc>
          <w:tcPr>
            <w:tcW w:w="2880" w:type="dxa"/>
            <w:shd w:val="clear" w:color="auto" w:fill="BFBFBF" w:themeFill="background1" w:themeFillShade="BF"/>
          </w:tcPr>
          <w:p w14:paraId="1D748C36" w14:textId="77777777" w:rsidR="00F7122E" w:rsidRPr="00383533" w:rsidRDefault="00076148" w:rsidP="00076148">
            <w:pPr>
              <w:spacing w:before="60" w:after="60"/>
              <w:jc w:val="left"/>
              <w:rPr>
                <w:rFonts w:ascii="Arial" w:hAnsi="Arial" w:cs="Arial"/>
                <w:sz w:val="18"/>
                <w:szCs w:val="18"/>
                <w:lang w:val="en-GB" w:eastAsia="en-GB"/>
              </w:rPr>
            </w:pPr>
            <w:r>
              <w:rPr>
                <w:rFonts w:ascii="Arial" w:hAnsi="Arial" w:cs="Arial"/>
                <w:sz w:val="16"/>
                <w:szCs w:val="16"/>
                <w:lang w:val="en-GB" w:eastAsia="en-GB"/>
              </w:rPr>
              <w:t>Re</w:t>
            </w:r>
            <w:r w:rsidR="00F7122E">
              <w:rPr>
                <w:rFonts w:ascii="Arial" w:hAnsi="Arial" w:cs="Arial"/>
                <w:sz w:val="16"/>
                <w:szCs w:val="16"/>
                <w:lang w:val="en-GB" w:eastAsia="en-GB"/>
              </w:rPr>
              <w:t>ferral systems</w:t>
            </w:r>
          </w:p>
        </w:tc>
        <w:tc>
          <w:tcPr>
            <w:tcW w:w="3093" w:type="dxa"/>
            <w:shd w:val="clear" w:color="auto" w:fill="BFBFBF" w:themeFill="background1" w:themeFillShade="BF"/>
          </w:tcPr>
          <w:p w14:paraId="1B33AB84" w14:textId="77777777" w:rsidR="00F7122E" w:rsidRPr="00AA71F6" w:rsidRDefault="00F7122E" w:rsidP="00420D96">
            <w:pPr>
              <w:spacing w:before="60" w:after="60"/>
              <w:jc w:val="left"/>
              <w:rPr>
                <w:rFonts w:ascii="Arial" w:hAnsi="Arial" w:cs="Arial"/>
                <w:sz w:val="16"/>
                <w:szCs w:val="16"/>
                <w:lang w:val="en-GB" w:eastAsia="en-GB"/>
              </w:rPr>
            </w:pPr>
            <w:r>
              <w:rPr>
                <w:rFonts w:ascii="Arial" w:hAnsi="Arial" w:cs="Arial"/>
                <w:sz w:val="16"/>
                <w:szCs w:val="16"/>
                <w:lang w:val="en-GB" w:eastAsia="en-GB"/>
              </w:rPr>
              <w:t xml:space="preserve">Operating hours </w:t>
            </w:r>
          </w:p>
        </w:tc>
        <w:tc>
          <w:tcPr>
            <w:tcW w:w="2790" w:type="dxa"/>
            <w:shd w:val="clear" w:color="auto" w:fill="BFBFBF" w:themeFill="background1" w:themeFillShade="BF"/>
          </w:tcPr>
          <w:p w14:paraId="2847ADC3" w14:textId="77777777" w:rsidR="00F7122E" w:rsidRPr="00AA71F6" w:rsidRDefault="00F7122E" w:rsidP="00B97FAA">
            <w:pPr>
              <w:spacing w:before="60" w:after="60"/>
              <w:jc w:val="left"/>
              <w:rPr>
                <w:rFonts w:ascii="Arial" w:hAnsi="Arial" w:cs="Arial"/>
                <w:sz w:val="16"/>
                <w:szCs w:val="16"/>
                <w:lang w:val="en-GB" w:eastAsia="en-GB"/>
              </w:rPr>
            </w:pPr>
            <w:r>
              <w:rPr>
                <w:rFonts w:ascii="Arial" w:hAnsi="Arial" w:cs="Arial"/>
                <w:sz w:val="16"/>
                <w:szCs w:val="16"/>
                <w:lang w:val="en-GB" w:eastAsia="en-GB"/>
              </w:rPr>
              <w:t xml:space="preserve">Service </w:t>
            </w:r>
            <w:r w:rsidR="00B97FAA">
              <w:rPr>
                <w:rFonts w:ascii="Arial" w:hAnsi="Arial" w:cs="Arial"/>
                <w:sz w:val="16"/>
                <w:szCs w:val="16"/>
                <w:lang w:val="en-GB" w:eastAsia="en-GB"/>
              </w:rPr>
              <w:t xml:space="preserve">reorientation and </w:t>
            </w:r>
            <w:r>
              <w:rPr>
                <w:rFonts w:ascii="Arial" w:hAnsi="Arial" w:cs="Arial"/>
                <w:sz w:val="16"/>
                <w:szCs w:val="16"/>
                <w:lang w:val="en-GB" w:eastAsia="en-GB"/>
              </w:rPr>
              <w:t xml:space="preserve">integration </w:t>
            </w:r>
          </w:p>
        </w:tc>
      </w:tr>
      <w:tr w:rsidR="00F7122E" w:rsidRPr="00AA71F6" w14:paraId="365A24D7" w14:textId="77777777" w:rsidTr="007E6865">
        <w:tc>
          <w:tcPr>
            <w:tcW w:w="597" w:type="dxa"/>
            <w:vMerge/>
            <w:shd w:val="clear" w:color="auto" w:fill="1F3864" w:themeFill="accent5" w:themeFillShade="80"/>
          </w:tcPr>
          <w:p w14:paraId="5418BB08" w14:textId="77777777" w:rsidR="00F7122E" w:rsidRPr="00383533" w:rsidRDefault="00F7122E" w:rsidP="007E6865">
            <w:pPr>
              <w:autoSpaceDE w:val="0"/>
              <w:autoSpaceDN w:val="0"/>
              <w:adjustRightInd w:val="0"/>
              <w:spacing w:before="60" w:after="60"/>
              <w:rPr>
                <w:rFonts w:ascii="Arial" w:hAnsi="Arial" w:cs="Arial"/>
                <w:sz w:val="18"/>
                <w:szCs w:val="18"/>
                <w:lang w:val="en-GB" w:eastAsia="en-GB"/>
              </w:rPr>
            </w:pPr>
          </w:p>
        </w:tc>
        <w:tc>
          <w:tcPr>
            <w:tcW w:w="2880" w:type="dxa"/>
            <w:shd w:val="clear" w:color="auto" w:fill="BFBFBF" w:themeFill="background1" w:themeFillShade="BF"/>
          </w:tcPr>
          <w:p w14:paraId="53CC0410" w14:textId="77777777" w:rsidR="00F7122E" w:rsidRPr="00383533" w:rsidRDefault="00F7122E" w:rsidP="007E6865">
            <w:pPr>
              <w:autoSpaceDE w:val="0"/>
              <w:autoSpaceDN w:val="0"/>
              <w:adjustRightInd w:val="0"/>
              <w:spacing w:before="60" w:after="60"/>
              <w:jc w:val="left"/>
              <w:rPr>
                <w:rFonts w:ascii="Arial" w:hAnsi="Arial" w:cs="Arial"/>
                <w:sz w:val="18"/>
                <w:szCs w:val="18"/>
                <w:lang w:val="en-GB" w:eastAsia="en-GB"/>
              </w:rPr>
            </w:pPr>
          </w:p>
        </w:tc>
        <w:tc>
          <w:tcPr>
            <w:tcW w:w="3093" w:type="dxa"/>
            <w:shd w:val="clear" w:color="auto" w:fill="BFBFBF" w:themeFill="background1" w:themeFillShade="BF"/>
          </w:tcPr>
          <w:p w14:paraId="54C4B1B4" w14:textId="77777777" w:rsidR="00F7122E" w:rsidRPr="00AA71F6" w:rsidRDefault="00F7122E" w:rsidP="007E6865">
            <w:pPr>
              <w:autoSpaceDE w:val="0"/>
              <w:autoSpaceDN w:val="0"/>
              <w:adjustRightInd w:val="0"/>
              <w:spacing w:before="60" w:after="60"/>
              <w:jc w:val="left"/>
              <w:rPr>
                <w:rFonts w:ascii="Arial" w:hAnsi="Arial" w:cs="Arial"/>
                <w:sz w:val="16"/>
                <w:szCs w:val="16"/>
                <w:lang w:val="en-GB" w:eastAsia="en-GB"/>
              </w:rPr>
            </w:pPr>
            <w:r>
              <w:rPr>
                <w:rFonts w:ascii="Arial" w:hAnsi="Arial" w:cs="Arial"/>
                <w:sz w:val="16"/>
                <w:szCs w:val="16"/>
                <w:lang w:val="en-GB" w:eastAsia="en-GB"/>
              </w:rPr>
              <w:t>Commodities and health workers</w:t>
            </w:r>
          </w:p>
        </w:tc>
        <w:tc>
          <w:tcPr>
            <w:tcW w:w="2790" w:type="dxa"/>
            <w:shd w:val="clear" w:color="auto" w:fill="BFBFBF" w:themeFill="background1" w:themeFillShade="BF"/>
          </w:tcPr>
          <w:p w14:paraId="18E222B4" w14:textId="77777777" w:rsidR="00F7122E" w:rsidRPr="00AA71F6" w:rsidRDefault="00F7122E" w:rsidP="007E6865">
            <w:pPr>
              <w:autoSpaceDE w:val="0"/>
              <w:autoSpaceDN w:val="0"/>
              <w:adjustRightInd w:val="0"/>
              <w:spacing w:before="60" w:after="60"/>
              <w:jc w:val="left"/>
              <w:rPr>
                <w:rFonts w:ascii="Arial" w:hAnsi="Arial" w:cs="Arial"/>
                <w:sz w:val="16"/>
                <w:szCs w:val="16"/>
                <w:lang w:val="en-GB" w:eastAsia="en-GB"/>
              </w:rPr>
            </w:pPr>
          </w:p>
        </w:tc>
      </w:tr>
      <w:tr w:rsidR="00F7122E" w:rsidRPr="00AA71F6" w14:paraId="73841F0A" w14:textId="77777777" w:rsidTr="007E6865">
        <w:tc>
          <w:tcPr>
            <w:tcW w:w="597" w:type="dxa"/>
            <w:vMerge/>
            <w:shd w:val="clear" w:color="auto" w:fill="1F3864" w:themeFill="accent5" w:themeFillShade="80"/>
          </w:tcPr>
          <w:p w14:paraId="3B441097" w14:textId="77777777" w:rsidR="00F7122E" w:rsidRPr="00383533" w:rsidRDefault="00F7122E" w:rsidP="007E6865">
            <w:pPr>
              <w:autoSpaceDE w:val="0"/>
              <w:autoSpaceDN w:val="0"/>
              <w:adjustRightInd w:val="0"/>
              <w:spacing w:before="60" w:after="60"/>
              <w:rPr>
                <w:rFonts w:ascii="Arial" w:hAnsi="Arial" w:cs="Arial"/>
                <w:sz w:val="18"/>
                <w:szCs w:val="18"/>
                <w:lang w:val="en-GB" w:eastAsia="en-GB"/>
              </w:rPr>
            </w:pPr>
          </w:p>
        </w:tc>
        <w:tc>
          <w:tcPr>
            <w:tcW w:w="8763" w:type="dxa"/>
            <w:gridSpan w:val="3"/>
            <w:shd w:val="clear" w:color="auto" w:fill="BFBFBF" w:themeFill="background1" w:themeFillShade="BF"/>
          </w:tcPr>
          <w:p w14:paraId="3D3D4B72" w14:textId="77777777" w:rsidR="00F7122E" w:rsidRPr="00AA71F6" w:rsidRDefault="00F7122E" w:rsidP="00F7122E">
            <w:pPr>
              <w:pStyle w:val="ListParagraph"/>
              <w:spacing w:before="60" w:after="60"/>
              <w:ind w:left="0" w:right="-153"/>
              <w:jc w:val="center"/>
              <w:rPr>
                <w:rFonts w:ascii="Arial" w:hAnsi="Arial" w:cs="Arial"/>
                <w:sz w:val="16"/>
                <w:szCs w:val="16"/>
                <w:lang w:val="en-GB" w:eastAsia="en-GB"/>
              </w:rPr>
            </w:pPr>
            <w:r>
              <w:rPr>
                <w:rFonts w:ascii="Arial" w:hAnsi="Arial" w:cs="Arial"/>
                <w:sz w:val="16"/>
                <w:szCs w:val="16"/>
                <w:lang w:val="en-GB" w:eastAsia="en-GB"/>
              </w:rPr>
              <w:t>Improved management, including supervision and feedback</w:t>
            </w:r>
          </w:p>
        </w:tc>
      </w:tr>
    </w:tbl>
    <w:p w14:paraId="2EA7BF8A" w14:textId="77777777" w:rsidR="00420D96" w:rsidRDefault="00420D96" w:rsidP="00076148">
      <w:pPr>
        <w:spacing w:before="120"/>
        <w:rPr>
          <w:sz w:val="20"/>
          <w:szCs w:val="20"/>
        </w:rPr>
      </w:pPr>
      <w:r w:rsidRPr="00420D96">
        <w:rPr>
          <w:rFonts w:eastAsiaTheme="majorEastAsia" w:cstheme="minorHAnsi"/>
          <w:sz w:val="20"/>
          <w:szCs w:val="20"/>
          <w:u w:val="single"/>
        </w:rPr>
        <w:t>Operating hours</w:t>
      </w:r>
      <w:r>
        <w:rPr>
          <w:rFonts w:eastAsiaTheme="majorEastAsia" w:cstheme="minorHAnsi"/>
          <w:sz w:val="20"/>
          <w:szCs w:val="20"/>
        </w:rPr>
        <w:t>: Whilst the Government of Kenya civil service handbook states that the official working hours are Monday to Friday from 8 am to 5 pm with one hour for lunch</w:t>
      </w:r>
      <w:r>
        <w:rPr>
          <w:rStyle w:val="FootnoteReference"/>
          <w:rFonts w:eastAsiaTheme="majorEastAsia" w:cstheme="minorHAnsi"/>
          <w:sz w:val="20"/>
          <w:szCs w:val="20"/>
        </w:rPr>
        <w:footnoteReference w:id="14"/>
      </w:r>
      <w:r>
        <w:rPr>
          <w:rFonts w:eastAsiaTheme="majorEastAsia" w:cstheme="minorHAnsi"/>
          <w:sz w:val="20"/>
          <w:szCs w:val="20"/>
        </w:rPr>
        <w:t xml:space="preserve">, the window for accessing health services is much shorter than this. This is acknowledged by Nairobi County </w:t>
      </w:r>
      <w:r w:rsidR="00BE6FA3">
        <w:rPr>
          <w:rFonts w:eastAsiaTheme="majorEastAsia" w:cstheme="minorHAnsi"/>
          <w:sz w:val="20"/>
          <w:szCs w:val="20"/>
        </w:rPr>
        <w:t>Medical Officers</w:t>
      </w:r>
      <w:r>
        <w:rPr>
          <w:rFonts w:eastAsiaTheme="majorEastAsia" w:cstheme="minorHAnsi"/>
          <w:sz w:val="20"/>
          <w:szCs w:val="20"/>
        </w:rPr>
        <w:t xml:space="preserve"> who concur that in most health facilities </w:t>
      </w:r>
      <w:r w:rsidRPr="00076148">
        <w:rPr>
          <w:rFonts w:eastAsiaTheme="majorEastAsia" w:cstheme="minorHAnsi"/>
          <w:b/>
          <w:i/>
          <w:sz w:val="20"/>
          <w:szCs w:val="20"/>
        </w:rPr>
        <w:t>the norm is less than what is provided for, while the exception is closer to what is officially stipulated</w:t>
      </w:r>
      <w:r>
        <w:rPr>
          <w:rFonts w:eastAsiaTheme="majorEastAsia" w:cstheme="minorHAnsi"/>
          <w:sz w:val="20"/>
          <w:szCs w:val="20"/>
        </w:rPr>
        <w:t xml:space="preserve">. Clients have been conditioned to attend </w:t>
      </w:r>
      <w:proofErr w:type="spellStart"/>
      <w:r w:rsidRPr="00420D96">
        <w:rPr>
          <w:rFonts w:eastAsiaTheme="majorEastAsia" w:cstheme="minorHAnsi"/>
          <w:i/>
          <w:sz w:val="20"/>
          <w:szCs w:val="20"/>
        </w:rPr>
        <w:t>en</w:t>
      </w:r>
      <w:proofErr w:type="spellEnd"/>
      <w:r w:rsidRPr="00420D96">
        <w:rPr>
          <w:rFonts w:eastAsiaTheme="majorEastAsia" w:cstheme="minorHAnsi"/>
          <w:i/>
          <w:sz w:val="20"/>
          <w:szCs w:val="20"/>
        </w:rPr>
        <w:t xml:space="preserve"> masse</w:t>
      </w:r>
      <w:r>
        <w:rPr>
          <w:rFonts w:eastAsiaTheme="majorEastAsia" w:cstheme="minorHAnsi"/>
          <w:sz w:val="20"/>
          <w:szCs w:val="20"/>
        </w:rPr>
        <w:t xml:space="preserve"> with resultant long queues for MCH services. This approach is inefficient, compromises quality of care and is not client-</w:t>
      </w:r>
      <w:proofErr w:type="spellStart"/>
      <w:r>
        <w:rPr>
          <w:rFonts w:eastAsiaTheme="majorEastAsia" w:cstheme="minorHAnsi"/>
          <w:sz w:val="20"/>
          <w:szCs w:val="20"/>
        </w:rPr>
        <w:t>centred</w:t>
      </w:r>
      <w:proofErr w:type="spellEnd"/>
      <w:r>
        <w:rPr>
          <w:rFonts w:eastAsiaTheme="majorEastAsia" w:cstheme="minorHAnsi"/>
          <w:sz w:val="20"/>
          <w:szCs w:val="20"/>
        </w:rPr>
        <w:t>. It is therefore strongly recommended that health facilities are “reconditioned” to provide services in a timely manner starting at 8 am and continuing through to 5 pm, or until the last client has been served</w:t>
      </w:r>
      <w:r w:rsidR="00076148">
        <w:rPr>
          <w:rFonts w:eastAsiaTheme="majorEastAsia" w:cstheme="minorHAnsi"/>
          <w:sz w:val="20"/>
          <w:szCs w:val="20"/>
        </w:rPr>
        <w:t xml:space="preserve"> (which may be earlier)</w:t>
      </w:r>
      <w:r>
        <w:rPr>
          <w:rFonts w:eastAsiaTheme="majorEastAsia" w:cstheme="minorHAnsi"/>
          <w:sz w:val="20"/>
          <w:szCs w:val="20"/>
        </w:rPr>
        <w:t xml:space="preserve">. This would need to be done in conjunction with community sensitization so that caretakers are made aware of the longer hours and can plan accordingly.  It is further recommended to trial Saturday morning </w:t>
      </w:r>
      <w:r w:rsidR="00076148">
        <w:rPr>
          <w:rFonts w:eastAsiaTheme="majorEastAsia" w:cstheme="minorHAnsi"/>
          <w:sz w:val="20"/>
          <w:szCs w:val="20"/>
        </w:rPr>
        <w:t xml:space="preserve">MCH clinic </w:t>
      </w:r>
      <w:r>
        <w:rPr>
          <w:rFonts w:eastAsiaTheme="majorEastAsia" w:cstheme="minorHAnsi"/>
          <w:sz w:val="20"/>
          <w:szCs w:val="20"/>
        </w:rPr>
        <w:t xml:space="preserve">hours. </w:t>
      </w:r>
      <w:r w:rsidR="00076148">
        <w:rPr>
          <w:rFonts w:eastAsiaTheme="majorEastAsia" w:cstheme="minorHAnsi"/>
          <w:sz w:val="20"/>
          <w:szCs w:val="20"/>
        </w:rPr>
        <w:t xml:space="preserve">One Sub-County </w:t>
      </w:r>
      <w:r w:rsidR="00BE6FA3">
        <w:rPr>
          <w:rFonts w:eastAsiaTheme="majorEastAsia" w:cstheme="minorHAnsi"/>
          <w:sz w:val="20"/>
          <w:szCs w:val="20"/>
        </w:rPr>
        <w:t>Medical Officer</w:t>
      </w:r>
      <w:r w:rsidR="00076148">
        <w:rPr>
          <w:rFonts w:eastAsiaTheme="majorEastAsia" w:cstheme="minorHAnsi"/>
          <w:sz w:val="20"/>
          <w:szCs w:val="20"/>
        </w:rPr>
        <w:t xml:space="preserve"> </w:t>
      </w:r>
      <w:r w:rsidR="00FC1B6B">
        <w:rPr>
          <w:rFonts w:eastAsiaTheme="majorEastAsia" w:cstheme="minorHAnsi"/>
          <w:sz w:val="20"/>
          <w:szCs w:val="20"/>
        </w:rPr>
        <w:t>suggested</w:t>
      </w:r>
      <w:r w:rsidR="00076148">
        <w:rPr>
          <w:rFonts w:eastAsiaTheme="majorEastAsia" w:cstheme="minorHAnsi"/>
          <w:sz w:val="20"/>
          <w:szCs w:val="20"/>
        </w:rPr>
        <w:t xml:space="preserve"> that m</w:t>
      </w:r>
      <w:r>
        <w:rPr>
          <w:rFonts w:eastAsiaTheme="majorEastAsia" w:cstheme="minorHAnsi"/>
          <w:sz w:val="20"/>
          <w:szCs w:val="20"/>
        </w:rPr>
        <w:t xml:space="preserve">aternity and </w:t>
      </w:r>
      <w:r w:rsidR="00076148">
        <w:rPr>
          <w:rFonts w:eastAsiaTheme="majorEastAsia" w:cstheme="minorHAnsi"/>
          <w:sz w:val="20"/>
          <w:szCs w:val="20"/>
        </w:rPr>
        <w:t>outpatient department s</w:t>
      </w:r>
      <w:r>
        <w:rPr>
          <w:rFonts w:eastAsiaTheme="majorEastAsia" w:cstheme="minorHAnsi"/>
          <w:sz w:val="20"/>
          <w:szCs w:val="20"/>
        </w:rPr>
        <w:t xml:space="preserve">ervices </w:t>
      </w:r>
      <w:r w:rsidR="00076148">
        <w:rPr>
          <w:rFonts w:eastAsiaTheme="majorEastAsia" w:cstheme="minorHAnsi"/>
          <w:sz w:val="20"/>
          <w:szCs w:val="20"/>
        </w:rPr>
        <w:t xml:space="preserve">be provided along with </w:t>
      </w:r>
      <w:r>
        <w:rPr>
          <w:rFonts w:eastAsiaTheme="majorEastAsia" w:cstheme="minorHAnsi"/>
          <w:sz w:val="20"/>
          <w:szCs w:val="20"/>
        </w:rPr>
        <w:t>an appropriate constellation of supportive services, including nutrition.</w:t>
      </w:r>
      <w:r w:rsidR="00076148">
        <w:rPr>
          <w:rFonts w:eastAsiaTheme="majorEastAsia" w:cstheme="minorHAnsi"/>
          <w:sz w:val="20"/>
          <w:szCs w:val="20"/>
        </w:rPr>
        <w:t xml:space="preserve"> This does not require a policy change, as some health workers have </w:t>
      </w:r>
      <w:proofErr w:type="gramStart"/>
      <w:r w:rsidR="00076148">
        <w:rPr>
          <w:rFonts w:eastAsiaTheme="majorEastAsia" w:cstheme="minorHAnsi"/>
          <w:sz w:val="20"/>
          <w:szCs w:val="20"/>
        </w:rPr>
        <w:t>alluded</w:t>
      </w:r>
      <w:proofErr w:type="gramEnd"/>
      <w:r w:rsidR="00076148">
        <w:rPr>
          <w:rFonts w:eastAsiaTheme="majorEastAsia" w:cstheme="minorHAnsi"/>
          <w:sz w:val="20"/>
          <w:szCs w:val="20"/>
        </w:rPr>
        <w:t xml:space="preserve">, but rather management intervention. </w:t>
      </w:r>
    </w:p>
    <w:p w14:paraId="746BE32D" w14:textId="4529B58A" w:rsidR="00076148" w:rsidRDefault="00076148" w:rsidP="00076148">
      <w:pPr>
        <w:spacing w:before="120"/>
        <w:rPr>
          <w:sz w:val="20"/>
          <w:szCs w:val="20"/>
        </w:rPr>
      </w:pPr>
      <w:r>
        <w:rPr>
          <w:sz w:val="20"/>
          <w:szCs w:val="20"/>
          <w:u w:val="single"/>
        </w:rPr>
        <w:t xml:space="preserve">Service </w:t>
      </w:r>
      <w:r w:rsidR="00B642FE">
        <w:rPr>
          <w:sz w:val="20"/>
          <w:szCs w:val="20"/>
          <w:u w:val="single"/>
        </w:rPr>
        <w:t xml:space="preserve">reorientation and </w:t>
      </w:r>
      <w:r>
        <w:rPr>
          <w:sz w:val="20"/>
          <w:szCs w:val="20"/>
          <w:u w:val="single"/>
        </w:rPr>
        <w:t>integration</w:t>
      </w:r>
      <w:r w:rsidRPr="00076148">
        <w:rPr>
          <w:sz w:val="20"/>
          <w:szCs w:val="20"/>
        </w:rPr>
        <w:t xml:space="preserve">: </w:t>
      </w:r>
      <w:r>
        <w:rPr>
          <w:sz w:val="20"/>
          <w:szCs w:val="20"/>
        </w:rPr>
        <w:t>As recommended by some Sub-County Health Managers, nutrition should be a “w</w:t>
      </w:r>
      <w:r w:rsidRPr="00076148">
        <w:rPr>
          <w:sz w:val="20"/>
          <w:szCs w:val="20"/>
        </w:rPr>
        <w:t>hole site</w:t>
      </w:r>
      <w:r>
        <w:rPr>
          <w:sz w:val="20"/>
          <w:szCs w:val="20"/>
        </w:rPr>
        <w:t>” effort</w:t>
      </w:r>
      <w:r w:rsidR="00FC1B6B">
        <w:rPr>
          <w:sz w:val="20"/>
          <w:szCs w:val="20"/>
        </w:rPr>
        <w:t>,</w:t>
      </w:r>
      <w:r>
        <w:rPr>
          <w:sz w:val="20"/>
          <w:szCs w:val="20"/>
        </w:rPr>
        <w:t xml:space="preserve"> reinforced at all service contact points </w:t>
      </w:r>
      <w:r w:rsidR="00FC1B6B">
        <w:rPr>
          <w:sz w:val="20"/>
          <w:szCs w:val="20"/>
        </w:rPr>
        <w:t>with</w:t>
      </w:r>
      <w:r>
        <w:rPr>
          <w:sz w:val="20"/>
          <w:szCs w:val="20"/>
        </w:rPr>
        <w:t xml:space="preserve"> referrals managed in a timely manner for those requiring treatment. </w:t>
      </w:r>
      <w:r w:rsidR="00FC1B6B">
        <w:rPr>
          <w:sz w:val="20"/>
          <w:szCs w:val="20"/>
        </w:rPr>
        <w:t xml:space="preserve">This would serve to </w:t>
      </w:r>
      <w:r w:rsidR="00FC1B6B" w:rsidRPr="0055451C">
        <w:rPr>
          <w:b/>
          <w:sz w:val="20"/>
          <w:szCs w:val="20"/>
        </w:rPr>
        <w:t xml:space="preserve">reorient </w:t>
      </w:r>
      <w:r w:rsidR="00B642FE" w:rsidRPr="0055451C">
        <w:rPr>
          <w:b/>
          <w:sz w:val="20"/>
          <w:szCs w:val="20"/>
        </w:rPr>
        <w:t xml:space="preserve">health </w:t>
      </w:r>
      <w:r w:rsidR="00FC1B6B" w:rsidRPr="0055451C">
        <w:rPr>
          <w:b/>
          <w:sz w:val="20"/>
          <w:szCs w:val="20"/>
        </w:rPr>
        <w:t xml:space="preserve">services to </w:t>
      </w:r>
      <w:r w:rsidR="00B642FE" w:rsidRPr="0055451C">
        <w:rPr>
          <w:b/>
          <w:sz w:val="20"/>
          <w:szCs w:val="20"/>
        </w:rPr>
        <w:t>the</w:t>
      </w:r>
      <w:r w:rsidR="00B642FE">
        <w:rPr>
          <w:sz w:val="20"/>
          <w:szCs w:val="20"/>
        </w:rPr>
        <w:t xml:space="preserve"> </w:t>
      </w:r>
      <w:r w:rsidR="00B642FE" w:rsidRPr="0055451C">
        <w:rPr>
          <w:b/>
          <w:sz w:val="20"/>
          <w:szCs w:val="20"/>
        </w:rPr>
        <w:t xml:space="preserve">promotion of </w:t>
      </w:r>
      <w:r w:rsidR="00B642FE" w:rsidRPr="0055451C">
        <w:rPr>
          <w:b/>
          <w:i/>
          <w:sz w:val="20"/>
          <w:szCs w:val="20"/>
        </w:rPr>
        <w:t>good nutrition</w:t>
      </w:r>
      <w:r w:rsidR="00B642FE" w:rsidRPr="0055451C">
        <w:rPr>
          <w:b/>
          <w:sz w:val="20"/>
          <w:szCs w:val="20"/>
        </w:rPr>
        <w:t xml:space="preserve">, from their current orientation of </w:t>
      </w:r>
      <w:r w:rsidR="00B642FE" w:rsidRPr="0055451C">
        <w:rPr>
          <w:b/>
          <w:i/>
          <w:sz w:val="20"/>
          <w:szCs w:val="20"/>
        </w:rPr>
        <w:t>treating malnutrition</w:t>
      </w:r>
      <w:r w:rsidR="00B642FE">
        <w:rPr>
          <w:sz w:val="20"/>
          <w:szCs w:val="20"/>
        </w:rPr>
        <w:t xml:space="preserve"> (i.e. a curative focus). This would imply that health workers have the requisite skills to provide </w:t>
      </w:r>
      <w:r w:rsidR="00CA1847">
        <w:rPr>
          <w:sz w:val="20"/>
          <w:szCs w:val="20"/>
        </w:rPr>
        <w:t>nutrition</w:t>
      </w:r>
      <w:r w:rsidR="00B642FE">
        <w:rPr>
          <w:sz w:val="20"/>
          <w:szCs w:val="20"/>
        </w:rPr>
        <w:t xml:space="preserve"> information and counselling, tailored to the needs of the </w:t>
      </w:r>
      <w:r w:rsidR="00B97FAA">
        <w:rPr>
          <w:sz w:val="20"/>
          <w:szCs w:val="20"/>
        </w:rPr>
        <w:t>client</w:t>
      </w:r>
      <w:r w:rsidR="00B642FE">
        <w:rPr>
          <w:sz w:val="20"/>
          <w:szCs w:val="20"/>
        </w:rPr>
        <w:t xml:space="preserve">. Supportive job aids, visibly absent in almost all health facilities, </w:t>
      </w:r>
      <w:r w:rsidR="00CA1847">
        <w:rPr>
          <w:sz w:val="20"/>
          <w:szCs w:val="20"/>
        </w:rPr>
        <w:t>would also facilitate more effective communication exchange</w:t>
      </w:r>
      <w:r w:rsidR="00B642FE">
        <w:rPr>
          <w:sz w:val="20"/>
          <w:szCs w:val="20"/>
        </w:rPr>
        <w:t xml:space="preserve">. Reconfiguration of MCH services is also recommended so that caretakers, and their children, do not have to queue for each </w:t>
      </w:r>
      <w:r w:rsidR="00CA1847">
        <w:rPr>
          <w:sz w:val="20"/>
          <w:szCs w:val="20"/>
        </w:rPr>
        <w:t xml:space="preserve">MCH </w:t>
      </w:r>
      <w:r w:rsidR="00B642FE">
        <w:rPr>
          <w:sz w:val="20"/>
          <w:szCs w:val="20"/>
        </w:rPr>
        <w:t xml:space="preserve">service but, rather, can access a constellation of related services </w:t>
      </w:r>
      <w:r w:rsidR="00CA1847">
        <w:rPr>
          <w:sz w:val="20"/>
          <w:szCs w:val="20"/>
        </w:rPr>
        <w:t>as a form of</w:t>
      </w:r>
      <w:r w:rsidR="00B642FE">
        <w:rPr>
          <w:sz w:val="20"/>
          <w:szCs w:val="20"/>
        </w:rPr>
        <w:t xml:space="preserve"> “one stop shop”. This would serve to reduce waiting times and improve client experience</w:t>
      </w:r>
      <w:r w:rsidR="004B5FA2" w:rsidRPr="004B5FA2">
        <w:t xml:space="preserve"> </w:t>
      </w:r>
      <w:r w:rsidR="004B5FA2" w:rsidRPr="004B5FA2">
        <w:rPr>
          <w:sz w:val="20"/>
          <w:szCs w:val="20"/>
        </w:rPr>
        <w:t>furthermore, while services are delivered on a first come, first serve basis, it is recommended that severely ill children are given priority.</w:t>
      </w:r>
      <w:r w:rsidR="00B642FE">
        <w:rPr>
          <w:sz w:val="20"/>
          <w:szCs w:val="20"/>
        </w:rPr>
        <w:t xml:space="preserve"> </w:t>
      </w:r>
      <w:r w:rsidR="002B618A">
        <w:rPr>
          <w:sz w:val="20"/>
          <w:szCs w:val="20"/>
        </w:rPr>
        <w:t xml:space="preserve">Greater integration </w:t>
      </w:r>
      <w:r w:rsidR="002B618A">
        <w:rPr>
          <w:sz w:val="20"/>
          <w:szCs w:val="20"/>
        </w:rPr>
        <w:lastRenderedPageBreak/>
        <w:t xml:space="preserve">could also extend to the private sector, given their proliferation in informal settlements, as sites for promoting good nutrition and referring children who require treatment services.  </w:t>
      </w:r>
    </w:p>
    <w:p w14:paraId="69F73194" w14:textId="77777777" w:rsidR="00116F85" w:rsidRDefault="00076148" w:rsidP="00AC3F18">
      <w:pPr>
        <w:spacing w:before="120"/>
        <w:rPr>
          <w:sz w:val="20"/>
          <w:szCs w:val="20"/>
        </w:rPr>
      </w:pPr>
      <w:r w:rsidRPr="00076148">
        <w:rPr>
          <w:sz w:val="20"/>
          <w:szCs w:val="20"/>
          <w:u w:val="single"/>
        </w:rPr>
        <w:t>Client voice and a</w:t>
      </w:r>
      <w:r w:rsidR="00116F85" w:rsidRPr="00076148">
        <w:rPr>
          <w:sz w:val="20"/>
          <w:szCs w:val="20"/>
          <w:u w:val="single"/>
        </w:rPr>
        <w:t>ccountability</w:t>
      </w:r>
      <w:r w:rsidR="00116F85">
        <w:rPr>
          <w:sz w:val="20"/>
          <w:szCs w:val="20"/>
        </w:rPr>
        <w:t xml:space="preserve">: </w:t>
      </w:r>
      <w:r w:rsidR="00CA1847">
        <w:rPr>
          <w:sz w:val="20"/>
          <w:szCs w:val="20"/>
        </w:rPr>
        <w:t xml:space="preserve">Caretakers welcomed the opportunity to be heard and to voice their views, both positive and negative, about their client experience. This form of feedback, if captured in real time and fed back into the health system has the potential to improve </w:t>
      </w:r>
      <w:r w:rsidR="00F97486">
        <w:rPr>
          <w:sz w:val="20"/>
          <w:szCs w:val="20"/>
        </w:rPr>
        <w:t>the responsiveness of service delivery. Various mechanisms are being tested in other parts of Kenya as well as East Africa</w:t>
      </w:r>
      <w:r w:rsidR="00CA1847">
        <w:rPr>
          <w:rStyle w:val="FootnoteReference"/>
          <w:sz w:val="20"/>
          <w:szCs w:val="20"/>
        </w:rPr>
        <w:footnoteReference w:id="15"/>
      </w:r>
      <w:r w:rsidR="00116F85">
        <w:rPr>
          <w:sz w:val="20"/>
          <w:szCs w:val="20"/>
        </w:rPr>
        <w:t xml:space="preserve">. </w:t>
      </w:r>
      <w:r w:rsidR="00F97486">
        <w:rPr>
          <w:sz w:val="20"/>
          <w:szCs w:val="20"/>
        </w:rPr>
        <w:t xml:space="preserve">Positive feedback should be </w:t>
      </w:r>
      <w:proofErr w:type="spellStart"/>
      <w:r w:rsidR="00F97486">
        <w:rPr>
          <w:sz w:val="20"/>
          <w:szCs w:val="20"/>
        </w:rPr>
        <w:t>recognised</w:t>
      </w:r>
      <w:proofErr w:type="spellEnd"/>
      <w:r w:rsidR="00F97486">
        <w:rPr>
          <w:sz w:val="20"/>
          <w:szCs w:val="20"/>
        </w:rPr>
        <w:t xml:space="preserve"> and rewarded (where feasible) while remedial measures should be taken to address sub-optimal performance. This should look at both facility as well as individual performance. </w:t>
      </w:r>
      <w:r w:rsidR="0055451C" w:rsidRPr="0055451C">
        <w:rPr>
          <w:b/>
          <w:sz w:val="20"/>
          <w:szCs w:val="20"/>
        </w:rPr>
        <w:t xml:space="preserve">The review uncovered </w:t>
      </w:r>
      <w:r w:rsidR="00F97486" w:rsidRPr="0055451C">
        <w:rPr>
          <w:b/>
          <w:sz w:val="20"/>
          <w:szCs w:val="20"/>
        </w:rPr>
        <w:t xml:space="preserve">outstanding </w:t>
      </w:r>
      <w:r w:rsidR="00B97FAA">
        <w:rPr>
          <w:b/>
          <w:sz w:val="20"/>
          <w:szCs w:val="20"/>
        </w:rPr>
        <w:t>performance</w:t>
      </w:r>
      <w:r w:rsidR="00F97486" w:rsidRPr="0055451C">
        <w:rPr>
          <w:b/>
          <w:sz w:val="20"/>
          <w:szCs w:val="20"/>
        </w:rPr>
        <w:t xml:space="preserve"> – </w:t>
      </w:r>
      <w:proofErr w:type="spellStart"/>
      <w:r w:rsidR="00F97486" w:rsidRPr="0055451C">
        <w:rPr>
          <w:b/>
          <w:sz w:val="20"/>
          <w:szCs w:val="20"/>
        </w:rPr>
        <w:t>recognised</w:t>
      </w:r>
      <w:proofErr w:type="spellEnd"/>
      <w:r w:rsidR="00F97486" w:rsidRPr="0055451C">
        <w:rPr>
          <w:b/>
          <w:sz w:val="20"/>
          <w:szCs w:val="20"/>
        </w:rPr>
        <w:t xml:space="preserve"> as such by caretakers – but “invisible” in the health system.</w:t>
      </w:r>
      <w:r w:rsidR="00F97486">
        <w:rPr>
          <w:sz w:val="20"/>
          <w:szCs w:val="20"/>
        </w:rPr>
        <w:t xml:space="preserve"> Greater understanding of what motivates and drives </w:t>
      </w:r>
      <w:r w:rsidR="0055451C">
        <w:rPr>
          <w:sz w:val="20"/>
          <w:szCs w:val="20"/>
        </w:rPr>
        <w:t>high performance</w:t>
      </w:r>
      <w:r w:rsidR="00F97486">
        <w:rPr>
          <w:sz w:val="20"/>
          <w:szCs w:val="20"/>
        </w:rPr>
        <w:t xml:space="preserve"> should be </w:t>
      </w:r>
      <w:r w:rsidR="0055451C">
        <w:rPr>
          <w:sz w:val="20"/>
          <w:szCs w:val="20"/>
        </w:rPr>
        <w:t xml:space="preserve">sought so that these behaviours can be emulated. </w:t>
      </w:r>
    </w:p>
    <w:p w14:paraId="4B35DAE6" w14:textId="4BB2A07D" w:rsidR="002E4277" w:rsidRDefault="00BE6FA3" w:rsidP="00AC3F18">
      <w:pPr>
        <w:spacing w:before="120"/>
        <w:rPr>
          <w:sz w:val="20"/>
          <w:szCs w:val="20"/>
        </w:rPr>
      </w:pPr>
      <w:r w:rsidRPr="00BE6FA3">
        <w:rPr>
          <w:sz w:val="20"/>
          <w:szCs w:val="20"/>
          <w:u w:val="single"/>
        </w:rPr>
        <w:t xml:space="preserve">Community </w:t>
      </w:r>
      <w:r w:rsidR="002E4277">
        <w:rPr>
          <w:sz w:val="20"/>
          <w:szCs w:val="20"/>
          <w:u w:val="single"/>
        </w:rPr>
        <w:t>engagement</w:t>
      </w:r>
      <w:r>
        <w:rPr>
          <w:sz w:val="20"/>
          <w:szCs w:val="20"/>
        </w:rPr>
        <w:t xml:space="preserve">: </w:t>
      </w:r>
      <w:r w:rsidR="0055451C">
        <w:rPr>
          <w:sz w:val="20"/>
          <w:szCs w:val="20"/>
        </w:rPr>
        <w:t xml:space="preserve">Greater awareness, sensitization and linkages with the community </w:t>
      </w:r>
      <w:proofErr w:type="gramStart"/>
      <w:r w:rsidR="0055451C">
        <w:rPr>
          <w:sz w:val="20"/>
          <w:szCs w:val="20"/>
        </w:rPr>
        <w:t>is</w:t>
      </w:r>
      <w:proofErr w:type="gramEnd"/>
      <w:r w:rsidR="0055451C">
        <w:rPr>
          <w:sz w:val="20"/>
          <w:szCs w:val="20"/>
        </w:rPr>
        <w:t xml:space="preserve"> also required. This presupposes functional CUs and well as greater multi-sectoral engagement </w:t>
      </w:r>
      <w:r w:rsidR="002E4277">
        <w:rPr>
          <w:sz w:val="20"/>
          <w:szCs w:val="20"/>
        </w:rPr>
        <w:t>– with specific attention to</w:t>
      </w:r>
      <w:r w:rsidR="0055451C">
        <w:rPr>
          <w:sz w:val="20"/>
          <w:szCs w:val="20"/>
        </w:rPr>
        <w:t xml:space="preserve"> employers as well as the day cares that women rely upon to participate in the </w:t>
      </w:r>
      <w:proofErr w:type="spellStart"/>
      <w:r w:rsidR="0055451C">
        <w:rPr>
          <w:sz w:val="20"/>
          <w:szCs w:val="20"/>
        </w:rPr>
        <w:t>labour</w:t>
      </w:r>
      <w:proofErr w:type="spellEnd"/>
      <w:r w:rsidR="0055451C">
        <w:rPr>
          <w:sz w:val="20"/>
          <w:szCs w:val="20"/>
        </w:rPr>
        <w:t xml:space="preserve"> market</w:t>
      </w:r>
      <w:r w:rsidR="00B97FAA">
        <w:rPr>
          <w:sz w:val="20"/>
          <w:szCs w:val="20"/>
        </w:rPr>
        <w:t xml:space="preserve"> (Concern and the SCHMTs are currently undertaking an assessment of informal day cares which could inform engagement with the latter). </w:t>
      </w:r>
      <w:r w:rsidR="002E4277">
        <w:rPr>
          <w:sz w:val="20"/>
          <w:szCs w:val="20"/>
        </w:rPr>
        <w:t xml:space="preserve">A critical factor to community </w:t>
      </w:r>
      <w:proofErr w:type="gramStart"/>
      <w:r w:rsidR="002E4277">
        <w:rPr>
          <w:sz w:val="20"/>
          <w:szCs w:val="20"/>
        </w:rPr>
        <w:t>engagement,</w:t>
      </w:r>
      <w:proofErr w:type="gramEnd"/>
      <w:r w:rsidR="002E4277">
        <w:rPr>
          <w:sz w:val="20"/>
          <w:szCs w:val="20"/>
        </w:rPr>
        <w:t xml:space="preserve"> is CHV motivation and incentives.  In all health facilities, attrition of CHVs was extremely high, a lost resource to the community and health system. To redress this, introducing a basic stipend for the most active CHVs and ensuring that </w:t>
      </w:r>
      <w:proofErr w:type="gramStart"/>
      <w:r w:rsidR="002E4277">
        <w:rPr>
          <w:sz w:val="20"/>
          <w:szCs w:val="20"/>
        </w:rPr>
        <w:t>this group have</w:t>
      </w:r>
      <w:proofErr w:type="gramEnd"/>
      <w:r w:rsidR="002E4277">
        <w:rPr>
          <w:sz w:val="20"/>
          <w:szCs w:val="20"/>
        </w:rPr>
        <w:t xml:space="preserve"> adequate capacity and support to promote </w:t>
      </w:r>
      <w:r w:rsidR="00CE3CFA">
        <w:rPr>
          <w:sz w:val="20"/>
          <w:szCs w:val="20"/>
        </w:rPr>
        <w:t>maternal, infant and young child nutrition</w:t>
      </w:r>
      <w:r w:rsidR="002E4277">
        <w:rPr>
          <w:sz w:val="20"/>
          <w:szCs w:val="20"/>
        </w:rPr>
        <w:t xml:space="preserve"> is suggested. In addition, sensitization of employers </w:t>
      </w:r>
      <w:r w:rsidR="00A54E22">
        <w:rPr>
          <w:sz w:val="20"/>
          <w:szCs w:val="20"/>
        </w:rPr>
        <w:t>on health rights and access to health services</w:t>
      </w:r>
      <w:r w:rsidR="002E4277">
        <w:rPr>
          <w:sz w:val="20"/>
          <w:szCs w:val="20"/>
        </w:rPr>
        <w:t xml:space="preserve"> should also be prioritized</w:t>
      </w:r>
      <w:r w:rsidR="00A54E22">
        <w:rPr>
          <w:sz w:val="20"/>
          <w:szCs w:val="20"/>
        </w:rPr>
        <w:t xml:space="preserve">. </w:t>
      </w:r>
      <w:r w:rsidR="002E4277">
        <w:rPr>
          <w:sz w:val="20"/>
          <w:szCs w:val="20"/>
        </w:rPr>
        <w:t xml:space="preserve">Again, positive employer behaviours (e.g. those work sites allowing caretakers to attend MCH services with pay) should be identified and </w:t>
      </w:r>
      <w:proofErr w:type="spellStart"/>
      <w:r w:rsidR="002E4277">
        <w:rPr>
          <w:sz w:val="20"/>
          <w:szCs w:val="20"/>
        </w:rPr>
        <w:t>recognised</w:t>
      </w:r>
      <w:proofErr w:type="spellEnd"/>
      <w:r w:rsidR="002E4277">
        <w:rPr>
          <w:sz w:val="20"/>
          <w:szCs w:val="20"/>
        </w:rPr>
        <w:t xml:space="preserve"> so that they can be emulated in the sector. Greater engagement would facilitate improved health seeking behaviours (including continued GMP after the ninth month)</w:t>
      </w:r>
      <w:r w:rsidR="002B618A">
        <w:rPr>
          <w:rStyle w:val="FootnoteReference"/>
          <w:sz w:val="20"/>
          <w:szCs w:val="20"/>
        </w:rPr>
        <w:footnoteReference w:id="16"/>
      </w:r>
      <w:r w:rsidR="002E4277">
        <w:rPr>
          <w:sz w:val="20"/>
          <w:szCs w:val="20"/>
        </w:rPr>
        <w:t xml:space="preserve"> and </w:t>
      </w:r>
      <w:r w:rsidR="00921517">
        <w:rPr>
          <w:sz w:val="20"/>
          <w:szCs w:val="20"/>
        </w:rPr>
        <w:t>prevention by addressing some of the underlying causes of malnutrition</w:t>
      </w:r>
      <w:r w:rsidR="00B97FAA">
        <w:rPr>
          <w:sz w:val="20"/>
          <w:szCs w:val="20"/>
        </w:rPr>
        <w:t xml:space="preserve"> in urban informal settlements</w:t>
      </w:r>
      <w:r w:rsidR="00921517">
        <w:rPr>
          <w:sz w:val="20"/>
          <w:szCs w:val="20"/>
        </w:rPr>
        <w:t xml:space="preserve">. </w:t>
      </w:r>
      <w:r w:rsidR="002E4277">
        <w:rPr>
          <w:sz w:val="20"/>
          <w:szCs w:val="20"/>
        </w:rPr>
        <w:t xml:space="preserve"> </w:t>
      </w:r>
    </w:p>
    <w:p w14:paraId="76CEA863" w14:textId="77777777" w:rsidR="003C00F5" w:rsidRDefault="003C00F5" w:rsidP="00910ED4">
      <w:pPr>
        <w:pStyle w:val="Heading1"/>
      </w:pPr>
    </w:p>
    <w:p w14:paraId="711ECBBB" w14:textId="77777777" w:rsidR="003B3CBD" w:rsidRDefault="003B3CBD">
      <w:pPr>
        <w:rPr>
          <w:rFonts w:asciiTheme="majorHAnsi" w:eastAsiaTheme="majorEastAsia" w:hAnsiTheme="majorHAnsi" w:cstheme="majorBidi"/>
          <w:b/>
          <w:color w:val="2E74B5" w:themeColor="accent1" w:themeShade="BF"/>
          <w:sz w:val="32"/>
          <w:szCs w:val="32"/>
        </w:rPr>
      </w:pPr>
      <w:r>
        <w:rPr>
          <w:b/>
        </w:rPr>
        <w:br w:type="page"/>
      </w:r>
    </w:p>
    <w:p w14:paraId="457AC92F" w14:textId="77777777" w:rsidR="00910ED4" w:rsidRPr="00BD0226" w:rsidRDefault="00910ED4" w:rsidP="00F20CEA">
      <w:pPr>
        <w:pStyle w:val="Heading1"/>
        <w:numPr>
          <w:ilvl w:val="0"/>
          <w:numId w:val="11"/>
        </w:numPr>
        <w:rPr>
          <w:b/>
        </w:rPr>
      </w:pPr>
      <w:bookmarkStart w:id="46" w:name="_Toc428029675"/>
      <w:r w:rsidRPr="00BD0226">
        <w:rPr>
          <w:b/>
        </w:rPr>
        <w:lastRenderedPageBreak/>
        <w:t>References</w:t>
      </w:r>
      <w:bookmarkEnd w:id="46"/>
    </w:p>
    <w:p w14:paraId="1284DA7B" w14:textId="77777777" w:rsidR="00722D01" w:rsidRPr="00722D01" w:rsidRDefault="00722D01" w:rsidP="008F1AAC">
      <w:pPr>
        <w:pStyle w:val="FootnoteText"/>
        <w:spacing w:before="120"/>
        <w:ind w:left="360" w:hanging="360"/>
      </w:pPr>
      <w:proofErr w:type="gramStart"/>
      <w:r w:rsidRPr="00722D01">
        <w:t xml:space="preserve">Adams, A., </w:t>
      </w:r>
      <w:proofErr w:type="spellStart"/>
      <w:r w:rsidRPr="00722D01">
        <w:t>Islan</w:t>
      </w:r>
      <w:proofErr w:type="spellEnd"/>
      <w:r w:rsidRPr="00722D01">
        <w:t>, R. and T. Ahmed, 2015.</w:t>
      </w:r>
      <w:proofErr w:type="gramEnd"/>
      <w:r w:rsidRPr="00722D01">
        <w:t xml:space="preserve"> Who serves the urban poor? </w:t>
      </w:r>
      <w:proofErr w:type="gramStart"/>
      <w:r w:rsidRPr="00722D01">
        <w:t>A geospatial and descriptive analysis of health services in slum settlements in Dhaka, Bangladesh.</w:t>
      </w:r>
      <w:proofErr w:type="gramEnd"/>
      <w:r w:rsidRPr="00722D01">
        <w:t xml:space="preserve"> Health Policy and Planning 2015;</w:t>
      </w:r>
      <w:r w:rsidR="008F1AAC">
        <w:t xml:space="preserve"> </w:t>
      </w:r>
      <w:r w:rsidRPr="00722D01">
        <w:t>30:i32–i45 doi:10.1093/</w:t>
      </w:r>
      <w:proofErr w:type="spellStart"/>
      <w:r w:rsidRPr="00722D01">
        <w:t>heapol</w:t>
      </w:r>
      <w:proofErr w:type="spellEnd"/>
      <w:r w:rsidRPr="00722D01">
        <w:t xml:space="preserve">/czu094. </w:t>
      </w:r>
    </w:p>
    <w:p w14:paraId="0DBE6253" w14:textId="77777777" w:rsidR="008F1AAC" w:rsidRDefault="008F1AAC" w:rsidP="008F1AAC">
      <w:pPr>
        <w:spacing w:before="120"/>
        <w:ind w:left="360" w:hanging="360"/>
        <w:rPr>
          <w:rFonts w:cstheme="minorHAnsi"/>
          <w:sz w:val="20"/>
          <w:szCs w:val="20"/>
        </w:rPr>
      </w:pPr>
      <w:r w:rsidRPr="008F1AAC">
        <w:rPr>
          <w:rFonts w:cstheme="minorHAnsi"/>
          <w:sz w:val="20"/>
          <w:szCs w:val="20"/>
        </w:rPr>
        <w:t>Bloom G, Standing H, Lucas H et al. 2011. Making health markets work</w:t>
      </w:r>
      <w:r>
        <w:rPr>
          <w:rFonts w:cstheme="minorHAnsi"/>
          <w:sz w:val="20"/>
          <w:szCs w:val="20"/>
        </w:rPr>
        <w:t xml:space="preserve"> </w:t>
      </w:r>
      <w:r w:rsidRPr="008F1AAC">
        <w:rPr>
          <w:rFonts w:cstheme="minorHAnsi"/>
          <w:sz w:val="20"/>
          <w:szCs w:val="20"/>
        </w:rPr>
        <w:t xml:space="preserve">better for poor people: the case of informal providers. </w:t>
      </w:r>
      <w:proofErr w:type="gramStart"/>
      <w:r w:rsidRPr="008F1AAC">
        <w:rPr>
          <w:rFonts w:cstheme="minorHAnsi"/>
          <w:sz w:val="20"/>
          <w:szCs w:val="20"/>
        </w:rPr>
        <w:t>Health Policy</w:t>
      </w:r>
      <w:r>
        <w:rPr>
          <w:rFonts w:cstheme="minorHAnsi"/>
          <w:sz w:val="20"/>
          <w:szCs w:val="20"/>
        </w:rPr>
        <w:t xml:space="preserve"> </w:t>
      </w:r>
      <w:r w:rsidRPr="008F1AAC">
        <w:rPr>
          <w:rFonts w:cstheme="minorHAnsi"/>
          <w:sz w:val="20"/>
          <w:szCs w:val="20"/>
        </w:rPr>
        <w:t>Plan.</w:t>
      </w:r>
      <w:proofErr w:type="gramEnd"/>
      <w:r w:rsidRPr="008F1AAC">
        <w:rPr>
          <w:rFonts w:cstheme="minorHAnsi"/>
          <w:sz w:val="20"/>
          <w:szCs w:val="20"/>
        </w:rPr>
        <w:t xml:space="preserve"> 26: 45–52.</w:t>
      </w:r>
    </w:p>
    <w:p w14:paraId="5BCEC21F" w14:textId="77777777" w:rsidR="00BD0226" w:rsidRPr="00BD0226" w:rsidRDefault="00BD0226" w:rsidP="008F1AAC">
      <w:pPr>
        <w:spacing w:before="120"/>
        <w:ind w:left="360" w:hanging="360"/>
        <w:rPr>
          <w:rFonts w:cstheme="minorHAnsi"/>
          <w:sz w:val="20"/>
          <w:szCs w:val="20"/>
        </w:rPr>
      </w:pPr>
      <w:proofErr w:type="gramStart"/>
      <w:r w:rsidRPr="00BD0226">
        <w:rPr>
          <w:rFonts w:cstheme="minorHAnsi"/>
          <w:sz w:val="20"/>
          <w:szCs w:val="20"/>
        </w:rPr>
        <w:t xml:space="preserve">Jacobs, B., </w:t>
      </w:r>
      <w:proofErr w:type="spellStart"/>
      <w:r w:rsidRPr="00BD0226">
        <w:rPr>
          <w:rFonts w:cstheme="minorHAnsi"/>
          <w:sz w:val="20"/>
          <w:szCs w:val="20"/>
        </w:rPr>
        <w:t>Por</w:t>
      </w:r>
      <w:proofErr w:type="spellEnd"/>
      <w:r w:rsidRPr="00BD0226">
        <w:rPr>
          <w:rFonts w:cstheme="minorHAnsi"/>
          <w:sz w:val="20"/>
          <w:szCs w:val="20"/>
        </w:rPr>
        <w:t xml:space="preserve">, I. </w:t>
      </w:r>
      <w:proofErr w:type="spellStart"/>
      <w:r w:rsidRPr="00BD0226">
        <w:rPr>
          <w:rFonts w:cstheme="minorHAnsi"/>
          <w:sz w:val="20"/>
          <w:szCs w:val="20"/>
        </w:rPr>
        <w:t>Bigdeli</w:t>
      </w:r>
      <w:proofErr w:type="spellEnd"/>
      <w:r w:rsidRPr="00BD0226">
        <w:rPr>
          <w:rFonts w:cstheme="minorHAnsi"/>
          <w:sz w:val="20"/>
          <w:szCs w:val="20"/>
        </w:rPr>
        <w:t xml:space="preserve">, M., Annear, P.L. and W. Van </w:t>
      </w:r>
      <w:proofErr w:type="spellStart"/>
      <w:r w:rsidRPr="00BD0226">
        <w:rPr>
          <w:rFonts w:cstheme="minorHAnsi"/>
          <w:sz w:val="20"/>
          <w:szCs w:val="20"/>
        </w:rPr>
        <w:t>Damme</w:t>
      </w:r>
      <w:proofErr w:type="spellEnd"/>
      <w:r w:rsidRPr="00BD0226">
        <w:rPr>
          <w:rFonts w:cstheme="minorHAnsi"/>
          <w:sz w:val="20"/>
          <w:szCs w:val="20"/>
        </w:rPr>
        <w:t>, 2012.</w:t>
      </w:r>
      <w:proofErr w:type="gramEnd"/>
      <w:r w:rsidRPr="00BD0226">
        <w:rPr>
          <w:rFonts w:cstheme="minorHAnsi"/>
          <w:sz w:val="20"/>
          <w:szCs w:val="20"/>
        </w:rPr>
        <w:t xml:space="preserve"> </w:t>
      </w:r>
      <w:proofErr w:type="gramStart"/>
      <w:r w:rsidRPr="00BD0226">
        <w:rPr>
          <w:rFonts w:cstheme="minorHAnsi"/>
          <w:sz w:val="20"/>
          <w:szCs w:val="20"/>
        </w:rPr>
        <w:t>Addressing access barriers to health services: an analytical framework for selecting appropriate interventions in low-income Asian countries.</w:t>
      </w:r>
      <w:proofErr w:type="gramEnd"/>
      <w:r w:rsidRPr="00BD0226">
        <w:rPr>
          <w:rFonts w:cstheme="minorHAnsi"/>
          <w:sz w:val="20"/>
          <w:szCs w:val="20"/>
        </w:rPr>
        <w:t xml:space="preserve"> Health Policy and Planning 2012</w:t>
      </w:r>
      <w:proofErr w:type="gramStart"/>
      <w:r w:rsidRPr="00BD0226">
        <w:rPr>
          <w:rFonts w:cstheme="minorHAnsi"/>
          <w:sz w:val="20"/>
          <w:szCs w:val="20"/>
        </w:rPr>
        <w:t>;27</w:t>
      </w:r>
      <w:proofErr w:type="gramEnd"/>
      <w:r w:rsidRPr="00BD0226">
        <w:rPr>
          <w:rFonts w:cstheme="minorHAnsi"/>
          <w:sz w:val="20"/>
          <w:szCs w:val="20"/>
        </w:rPr>
        <w:t>:</w:t>
      </w:r>
      <w:r>
        <w:rPr>
          <w:rFonts w:cstheme="minorHAnsi"/>
          <w:sz w:val="20"/>
          <w:szCs w:val="20"/>
        </w:rPr>
        <w:t xml:space="preserve"> </w:t>
      </w:r>
      <w:r w:rsidRPr="00BD0226">
        <w:rPr>
          <w:rFonts w:cstheme="minorHAnsi"/>
          <w:sz w:val="20"/>
          <w:szCs w:val="20"/>
        </w:rPr>
        <w:t>288–300 doi:10.1093/</w:t>
      </w:r>
      <w:proofErr w:type="spellStart"/>
      <w:r w:rsidRPr="00BD0226">
        <w:rPr>
          <w:rFonts w:cstheme="minorHAnsi"/>
          <w:sz w:val="20"/>
          <w:szCs w:val="20"/>
        </w:rPr>
        <w:t>heapol</w:t>
      </w:r>
      <w:proofErr w:type="spellEnd"/>
      <w:r w:rsidRPr="00BD0226">
        <w:rPr>
          <w:rFonts w:cstheme="minorHAnsi"/>
          <w:sz w:val="20"/>
          <w:szCs w:val="20"/>
        </w:rPr>
        <w:t>/czr038</w:t>
      </w:r>
    </w:p>
    <w:p w14:paraId="25FA1367" w14:textId="77777777" w:rsidR="00297CE2" w:rsidRDefault="00297CE2" w:rsidP="008F1AAC">
      <w:pPr>
        <w:spacing w:before="120"/>
        <w:ind w:left="360" w:hanging="360"/>
        <w:rPr>
          <w:rFonts w:cstheme="minorHAnsi"/>
          <w:sz w:val="20"/>
          <w:szCs w:val="20"/>
        </w:rPr>
      </w:pPr>
      <w:proofErr w:type="spellStart"/>
      <w:r w:rsidRPr="00297CE2">
        <w:rPr>
          <w:rFonts w:cstheme="minorHAnsi"/>
          <w:sz w:val="20"/>
          <w:szCs w:val="20"/>
        </w:rPr>
        <w:t>MacKian</w:t>
      </w:r>
      <w:proofErr w:type="spellEnd"/>
      <w:r>
        <w:rPr>
          <w:rFonts w:cstheme="minorHAnsi"/>
          <w:sz w:val="20"/>
          <w:szCs w:val="20"/>
        </w:rPr>
        <w:t>, S</w:t>
      </w:r>
      <w:r w:rsidRPr="00297CE2">
        <w:rPr>
          <w:rFonts w:cstheme="minorHAnsi"/>
          <w:sz w:val="20"/>
          <w:szCs w:val="20"/>
        </w:rPr>
        <w:t xml:space="preserve">. </w:t>
      </w:r>
      <w:r>
        <w:rPr>
          <w:rFonts w:cstheme="minorHAnsi"/>
          <w:sz w:val="20"/>
          <w:szCs w:val="20"/>
        </w:rPr>
        <w:t xml:space="preserve">2003. </w:t>
      </w:r>
      <w:r w:rsidRPr="00297CE2">
        <w:rPr>
          <w:rFonts w:cstheme="minorHAnsi"/>
          <w:sz w:val="20"/>
          <w:szCs w:val="20"/>
        </w:rPr>
        <w:t xml:space="preserve">A review of health seeking </w:t>
      </w:r>
      <w:proofErr w:type="spellStart"/>
      <w:r w:rsidRPr="00297CE2">
        <w:rPr>
          <w:rFonts w:cstheme="minorHAnsi"/>
          <w:sz w:val="20"/>
          <w:szCs w:val="20"/>
        </w:rPr>
        <w:t>behaviour</w:t>
      </w:r>
      <w:proofErr w:type="spellEnd"/>
      <w:r w:rsidRPr="00297CE2">
        <w:rPr>
          <w:rFonts w:cstheme="minorHAnsi"/>
          <w:sz w:val="20"/>
          <w:szCs w:val="20"/>
        </w:rPr>
        <w:t>: problems and prospects, DFID Health Systems Development Programme, HSD/WP/05/03.</w:t>
      </w:r>
    </w:p>
    <w:p w14:paraId="05C71EBA" w14:textId="77777777" w:rsidR="00AD62F0" w:rsidRDefault="00910ED4" w:rsidP="008F1AAC">
      <w:pPr>
        <w:spacing w:before="120"/>
        <w:ind w:left="360" w:hanging="360"/>
        <w:rPr>
          <w:rFonts w:cstheme="minorHAnsi"/>
          <w:sz w:val="20"/>
          <w:szCs w:val="20"/>
        </w:rPr>
      </w:pPr>
      <w:proofErr w:type="gramStart"/>
      <w:r w:rsidRPr="00BD0226">
        <w:rPr>
          <w:rFonts w:cstheme="minorHAnsi"/>
          <w:sz w:val="20"/>
          <w:szCs w:val="20"/>
        </w:rPr>
        <w:t>Republic of Kenya</w:t>
      </w:r>
      <w:r w:rsidR="00D44DC4" w:rsidRPr="00BD0226">
        <w:rPr>
          <w:rFonts w:cstheme="minorHAnsi"/>
          <w:sz w:val="20"/>
          <w:szCs w:val="20"/>
        </w:rPr>
        <w:t xml:space="preserve">, </w:t>
      </w:r>
      <w:r w:rsidRPr="00BD0226">
        <w:rPr>
          <w:rFonts w:cstheme="minorHAnsi"/>
          <w:sz w:val="20"/>
          <w:szCs w:val="20"/>
        </w:rPr>
        <w:t>O</w:t>
      </w:r>
      <w:r w:rsidR="00D44DC4" w:rsidRPr="00BD0226">
        <w:rPr>
          <w:rFonts w:cstheme="minorHAnsi"/>
          <w:sz w:val="20"/>
          <w:szCs w:val="20"/>
        </w:rPr>
        <w:t>ffice of the President</w:t>
      </w:r>
      <w:r w:rsidR="00F87714" w:rsidRPr="00BD0226">
        <w:rPr>
          <w:rFonts w:cstheme="minorHAnsi"/>
          <w:sz w:val="20"/>
          <w:szCs w:val="20"/>
        </w:rPr>
        <w:t>, 2006.</w:t>
      </w:r>
      <w:proofErr w:type="gramEnd"/>
      <w:r w:rsidR="00F87714" w:rsidRPr="00BD0226">
        <w:rPr>
          <w:rFonts w:cstheme="minorHAnsi"/>
        </w:rPr>
        <w:t xml:space="preserve"> </w:t>
      </w:r>
      <w:proofErr w:type="gramStart"/>
      <w:r w:rsidR="00F87714" w:rsidRPr="00BD0226">
        <w:rPr>
          <w:rFonts w:cstheme="minorHAnsi"/>
          <w:sz w:val="20"/>
          <w:szCs w:val="20"/>
        </w:rPr>
        <w:t>Handbook for Civil Service Staff Induction, Directorate of Personnel Management, Nairobi, Kenya.</w:t>
      </w:r>
      <w:proofErr w:type="gramEnd"/>
      <w:r w:rsidR="00F87714" w:rsidRPr="00BD0226">
        <w:rPr>
          <w:rFonts w:cstheme="minorHAnsi"/>
          <w:sz w:val="20"/>
          <w:szCs w:val="20"/>
        </w:rPr>
        <w:t xml:space="preserve"> </w:t>
      </w:r>
    </w:p>
    <w:p w14:paraId="42F283E9" w14:textId="77777777" w:rsidR="00BD0226" w:rsidRPr="00BD0226" w:rsidRDefault="00BD0226" w:rsidP="008F1AAC">
      <w:pPr>
        <w:spacing w:before="120"/>
        <w:ind w:left="360" w:hanging="360"/>
        <w:rPr>
          <w:rFonts w:cstheme="minorHAnsi"/>
          <w:sz w:val="20"/>
          <w:szCs w:val="20"/>
        </w:rPr>
      </w:pPr>
      <w:r w:rsidRPr="00BD0226">
        <w:rPr>
          <w:rFonts w:cstheme="minorHAnsi"/>
          <w:sz w:val="20"/>
          <w:szCs w:val="20"/>
        </w:rPr>
        <w:t xml:space="preserve">Zulu EM, </w:t>
      </w:r>
      <w:proofErr w:type="spellStart"/>
      <w:r w:rsidRPr="00BD0226">
        <w:rPr>
          <w:rFonts w:cstheme="minorHAnsi"/>
          <w:sz w:val="20"/>
          <w:szCs w:val="20"/>
        </w:rPr>
        <w:t>Beguy</w:t>
      </w:r>
      <w:proofErr w:type="spellEnd"/>
      <w:r w:rsidRPr="00BD0226">
        <w:rPr>
          <w:rFonts w:cstheme="minorHAnsi"/>
          <w:sz w:val="20"/>
          <w:szCs w:val="20"/>
        </w:rPr>
        <w:t xml:space="preserve"> D, </w:t>
      </w:r>
      <w:proofErr w:type="spellStart"/>
      <w:r w:rsidRPr="00BD0226">
        <w:rPr>
          <w:rFonts w:cstheme="minorHAnsi"/>
          <w:sz w:val="20"/>
          <w:szCs w:val="20"/>
        </w:rPr>
        <w:t>Ezeh</w:t>
      </w:r>
      <w:proofErr w:type="spellEnd"/>
      <w:r w:rsidRPr="00BD0226">
        <w:rPr>
          <w:rFonts w:cstheme="minorHAnsi"/>
          <w:sz w:val="20"/>
          <w:szCs w:val="20"/>
        </w:rPr>
        <w:t xml:space="preserve"> AC et al. 2011. </w:t>
      </w:r>
      <w:proofErr w:type="gramStart"/>
      <w:r w:rsidRPr="00BD0226">
        <w:rPr>
          <w:rFonts w:cstheme="minorHAnsi"/>
          <w:sz w:val="20"/>
          <w:szCs w:val="20"/>
        </w:rPr>
        <w:t>Overview of migration, poverty and health dynamics in Nairobi City’s slum settlements.</w:t>
      </w:r>
      <w:proofErr w:type="gramEnd"/>
      <w:r w:rsidRPr="00BD0226">
        <w:rPr>
          <w:rFonts w:cstheme="minorHAnsi"/>
          <w:sz w:val="20"/>
          <w:szCs w:val="20"/>
        </w:rPr>
        <w:t xml:space="preserve"> Journal of Urban Health, Bulletin of the New York Academy of Medicine 88: 185–99.</w:t>
      </w:r>
    </w:p>
    <w:p w14:paraId="6CBB6047" w14:textId="77777777" w:rsidR="00F87714" w:rsidRPr="00D44DC4" w:rsidRDefault="00F87714" w:rsidP="00F87714">
      <w:pPr>
        <w:rPr>
          <w:sz w:val="20"/>
          <w:szCs w:val="20"/>
        </w:rPr>
      </w:pPr>
    </w:p>
    <w:p w14:paraId="6B696D71" w14:textId="56E26A93" w:rsidR="00AD62F0" w:rsidRDefault="00AD62F0"/>
    <w:sectPr w:rsidR="00AD62F0" w:rsidSect="00AD62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868A" w14:textId="77777777" w:rsidR="009922DB" w:rsidRDefault="009922DB" w:rsidP="00901AF2">
      <w:r>
        <w:separator/>
      </w:r>
    </w:p>
  </w:endnote>
  <w:endnote w:type="continuationSeparator" w:id="0">
    <w:p w14:paraId="4DEBD53C" w14:textId="77777777" w:rsidR="009922DB" w:rsidRDefault="009922DB" w:rsidP="0090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B268" w14:textId="77777777" w:rsidR="00C83111" w:rsidRDefault="00C83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8791" w14:textId="77777777" w:rsidR="00C83111" w:rsidRDefault="00C83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3ADA" w14:textId="77777777" w:rsidR="00C83111" w:rsidRDefault="00C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9B75" w14:textId="77777777" w:rsidR="009922DB" w:rsidRDefault="009922DB" w:rsidP="00901AF2">
      <w:r>
        <w:separator/>
      </w:r>
    </w:p>
  </w:footnote>
  <w:footnote w:type="continuationSeparator" w:id="0">
    <w:p w14:paraId="70CC805B" w14:textId="77777777" w:rsidR="009922DB" w:rsidRDefault="009922DB" w:rsidP="00901AF2">
      <w:r>
        <w:continuationSeparator/>
      </w:r>
    </w:p>
  </w:footnote>
  <w:footnote w:id="1">
    <w:p w14:paraId="692362E1" w14:textId="14012194" w:rsidR="00C83111" w:rsidRPr="00755FA0" w:rsidRDefault="00C83111">
      <w:pPr>
        <w:pStyle w:val="FootnoteText"/>
        <w:rPr>
          <w:sz w:val="16"/>
          <w:szCs w:val="16"/>
        </w:rPr>
      </w:pPr>
      <w:r w:rsidRPr="00755FA0">
        <w:rPr>
          <w:rStyle w:val="FootnoteReference"/>
          <w:sz w:val="16"/>
          <w:szCs w:val="16"/>
        </w:rPr>
        <w:footnoteRef/>
      </w:r>
      <w:r w:rsidRPr="00755FA0">
        <w:rPr>
          <w:sz w:val="16"/>
          <w:szCs w:val="16"/>
        </w:rPr>
        <w:t xml:space="preserve"> Selected </w:t>
      </w:r>
      <w:r>
        <w:rPr>
          <w:sz w:val="16"/>
          <w:szCs w:val="16"/>
        </w:rPr>
        <w:t>S</w:t>
      </w:r>
      <w:r w:rsidRPr="00755FA0">
        <w:rPr>
          <w:sz w:val="16"/>
          <w:szCs w:val="16"/>
        </w:rPr>
        <w:t xml:space="preserve">ub-Counties include those where Concern Worldwide operates and not all </w:t>
      </w:r>
      <w:r>
        <w:rPr>
          <w:sz w:val="16"/>
          <w:szCs w:val="16"/>
        </w:rPr>
        <w:t>S</w:t>
      </w:r>
      <w:r w:rsidRPr="00755FA0">
        <w:rPr>
          <w:sz w:val="16"/>
          <w:szCs w:val="16"/>
        </w:rPr>
        <w:t xml:space="preserve">ub-Counties of Nairobi County. </w:t>
      </w:r>
    </w:p>
  </w:footnote>
  <w:footnote w:id="2">
    <w:p w14:paraId="0D95358C" w14:textId="77777777" w:rsidR="00C83111" w:rsidRPr="00F7122E" w:rsidRDefault="00C83111" w:rsidP="00F7122E">
      <w:pPr>
        <w:rPr>
          <w:rFonts w:cstheme="minorHAnsi"/>
          <w:sz w:val="16"/>
          <w:szCs w:val="16"/>
        </w:rPr>
      </w:pPr>
      <w:r w:rsidRPr="00F7122E">
        <w:rPr>
          <w:rStyle w:val="FootnoteReference"/>
          <w:rFonts w:cstheme="minorHAnsi"/>
          <w:sz w:val="16"/>
          <w:szCs w:val="16"/>
        </w:rPr>
        <w:footnoteRef/>
      </w:r>
      <w:r w:rsidRPr="00F7122E">
        <w:rPr>
          <w:rFonts w:cstheme="minorHAnsi"/>
          <w:sz w:val="16"/>
          <w:szCs w:val="16"/>
        </w:rPr>
        <w:t xml:space="preserve"> World Health Organisation (2007) </w:t>
      </w:r>
      <w:r w:rsidRPr="00F7122E">
        <w:rPr>
          <w:rFonts w:cstheme="minorHAnsi"/>
          <w:i/>
          <w:sz w:val="16"/>
          <w:szCs w:val="16"/>
        </w:rPr>
        <w:t>Everybody’s Business: strengthening health systems to improve health outcomes</w:t>
      </w:r>
      <w:r w:rsidRPr="00F7122E">
        <w:rPr>
          <w:rFonts w:cstheme="minorHAnsi"/>
          <w:sz w:val="16"/>
          <w:szCs w:val="16"/>
        </w:rPr>
        <w:t xml:space="preserve"> (WHO’s Framework for Action), WHO, Geneva.</w:t>
      </w:r>
    </w:p>
  </w:footnote>
  <w:footnote w:id="3">
    <w:p w14:paraId="3033ED3D" w14:textId="77777777" w:rsidR="00C83111" w:rsidRPr="00F7122E" w:rsidRDefault="00C83111">
      <w:pPr>
        <w:pStyle w:val="FootnoteText"/>
        <w:rPr>
          <w:rFonts w:cstheme="minorHAnsi"/>
          <w:sz w:val="16"/>
          <w:szCs w:val="16"/>
        </w:rPr>
      </w:pPr>
      <w:r w:rsidRPr="00F7122E">
        <w:rPr>
          <w:rStyle w:val="FootnoteReference"/>
          <w:rFonts w:cstheme="minorHAnsi"/>
          <w:sz w:val="16"/>
          <w:szCs w:val="16"/>
        </w:rPr>
        <w:footnoteRef/>
      </w:r>
      <w:r w:rsidRPr="00F7122E">
        <w:rPr>
          <w:rFonts w:cstheme="minorHAnsi"/>
          <w:sz w:val="16"/>
          <w:szCs w:val="16"/>
        </w:rPr>
        <w:t xml:space="preserve"> </w:t>
      </w:r>
      <w:proofErr w:type="gramStart"/>
      <w:r w:rsidRPr="00F7122E">
        <w:rPr>
          <w:rFonts w:cstheme="minorHAnsi"/>
          <w:sz w:val="16"/>
          <w:szCs w:val="16"/>
        </w:rPr>
        <w:t xml:space="preserve">O’Donnell, 2007 in Jacobs, B., </w:t>
      </w:r>
      <w:proofErr w:type="spellStart"/>
      <w:r w:rsidRPr="00F7122E">
        <w:rPr>
          <w:rFonts w:cstheme="minorHAnsi"/>
          <w:sz w:val="16"/>
          <w:szCs w:val="16"/>
        </w:rPr>
        <w:t>Por</w:t>
      </w:r>
      <w:proofErr w:type="spellEnd"/>
      <w:r w:rsidRPr="00F7122E">
        <w:rPr>
          <w:rFonts w:cstheme="minorHAnsi"/>
          <w:sz w:val="16"/>
          <w:szCs w:val="16"/>
        </w:rPr>
        <w:t xml:space="preserve">, I. </w:t>
      </w:r>
      <w:proofErr w:type="spellStart"/>
      <w:r w:rsidRPr="00F7122E">
        <w:rPr>
          <w:rFonts w:cstheme="minorHAnsi"/>
          <w:sz w:val="16"/>
          <w:szCs w:val="16"/>
        </w:rPr>
        <w:t>Bigdeli</w:t>
      </w:r>
      <w:proofErr w:type="spellEnd"/>
      <w:r w:rsidRPr="00F7122E">
        <w:rPr>
          <w:rFonts w:cstheme="minorHAnsi"/>
          <w:sz w:val="16"/>
          <w:szCs w:val="16"/>
        </w:rPr>
        <w:t xml:space="preserve">, M., Annear, P.L. and W. Van </w:t>
      </w:r>
      <w:proofErr w:type="spellStart"/>
      <w:r w:rsidRPr="00F7122E">
        <w:rPr>
          <w:rFonts w:cstheme="minorHAnsi"/>
          <w:sz w:val="16"/>
          <w:szCs w:val="16"/>
        </w:rPr>
        <w:t>Damme</w:t>
      </w:r>
      <w:proofErr w:type="spellEnd"/>
      <w:r w:rsidRPr="00F7122E">
        <w:rPr>
          <w:rFonts w:cstheme="minorHAnsi"/>
          <w:sz w:val="16"/>
          <w:szCs w:val="16"/>
        </w:rPr>
        <w:t>, 2012.</w:t>
      </w:r>
      <w:proofErr w:type="gramEnd"/>
      <w:r w:rsidRPr="00F7122E">
        <w:rPr>
          <w:rFonts w:cstheme="minorHAnsi"/>
          <w:sz w:val="16"/>
          <w:szCs w:val="16"/>
        </w:rPr>
        <w:t xml:space="preserve"> </w:t>
      </w:r>
      <w:proofErr w:type="gramStart"/>
      <w:r w:rsidRPr="00F7122E">
        <w:rPr>
          <w:rFonts w:cstheme="minorHAnsi"/>
          <w:sz w:val="16"/>
          <w:szCs w:val="16"/>
        </w:rPr>
        <w:t>Addressing access barriers to health services: an analytical framework for selecting appropriate interventions in low-income Asian countries.</w:t>
      </w:r>
      <w:proofErr w:type="gramEnd"/>
      <w:r w:rsidRPr="00F7122E">
        <w:rPr>
          <w:rFonts w:cstheme="minorHAnsi"/>
          <w:sz w:val="16"/>
          <w:szCs w:val="16"/>
        </w:rPr>
        <w:t xml:space="preserve"> Health Policy and Planning 2012</w:t>
      </w:r>
      <w:proofErr w:type="gramStart"/>
      <w:r w:rsidRPr="00F7122E">
        <w:rPr>
          <w:rFonts w:cstheme="minorHAnsi"/>
          <w:sz w:val="16"/>
          <w:szCs w:val="16"/>
        </w:rPr>
        <w:t>;27</w:t>
      </w:r>
      <w:proofErr w:type="gramEnd"/>
      <w:r w:rsidRPr="00F7122E">
        <w:rPr>
          <w:rFonts w:cstheme="minorHAnsi"/>
          <w:sz w:val="16"/>
          <w:szCs w:val="16"/>
        </w:rPr>
        <w:t>: 288–300 doi:10.1093/</w:t>
      </w:r>
      <w:proofErr w:type="spellStart"/>
      <w:r w:rsidRPr="00F7122E">
        <w:rPr>
          <w:rFonts w:cstheme="minorHAnsi"/>
          <w:sz w:val="16"/>
          <w:szCs w:val="16"/>
        </w:rPr>
        <w:t>heapol</w:t>
      </w:r>
      <w:proofErr w:type="spellEnd"/>
      <w:r w:rsidRPr="00F7122E">
        <w:rPr>
          <w:rFonts w:cstheme="minorHAnsi"/>
          <w:sz w:val="16"/>
          <w:szCs w:val="16"/>
        </w:rPr>
        <w:t>/czr038</w:t>
      </w:r>
      <w:r>
        <w:rPr>
          <w:rFonts w:cstheme="minorHAnsi"/>
          <w:sz w:val="16"/>
          <w:szCs w:val="16"/>
        </w:rPr>
        <w:t>.</w:t>
      </w:r>
    </w:p>
  </w:footnote>
  <w:footnote w:id="4">
    <w:p w14:paraId="53210B89" w14:textId="77777777" w:rsidR="00C83111" w:rsidRPr="008E5FDA" w:rsidRDefault="00C83111">
      <w:pPr>
        <w:pStyle w:val="FootnoteText"/>
        <w:rPr>
          <w:sz w:val="16"/>
          <w:szCs w:val="16"/>
        </w:rPr>
      </w:pPr>
      <w:r w:rsidRPr="008E5FDA">
        <w:rPr>
          <w:rStyle w:val="FootnoteReference"/>
          <w:sz w:val="16"/>
          <w:szCs w:val="16"/>
        </w:rPr>
        <w:footnoteRef/>
      </w:r>
      <w:r w:rsidRPr="008E5FDA">
        <w:rPr>
          <w:sz w:val="16"/>
          <w:szCs w:val="16"/>
        </w:rPr>
        <w:t xml:space="preserve"> This health </w:t>
      </w:r>
      <w:proofErr w:type="spellStart"/>
      <w:r w:rsidRPr="008E5FDA">
        <w:rPr>
          <w:sz w:val="16"/>
          <w:szCs w:val="16"/>
        </w:rPr>
        <w:t>centre</w:t>
      </w:r>
      <w:proofErr w:type="spellEnd"/>
      <w:r w:rsidRPr="008E5FDA">
        <w:rPr>
          <w:sz w:val="16"/>
          <w:szCs w:val="16"/>
        </w:rPr>
        <w:t xml:space="preserve"> was visited however the interviewer waited an hour (from 8:25 – 9:25) and left as only one health worker had arrived, and just a few patients had arrived, none of who had come for MCH services.  </w:t>
      </w:r>
    </w:p>
  </w:footnote>
  <w:footnote w:id="5">
    <w:p w14:paraId="35C46076" w14:textId="77777777" w:rsidR="00C83111" w:rsidRPr="006F6424" w:rsidRDefault="00C83111">
      <w:pPr>
        <w:pStyle w:val="FootnoteText"/>
        <w:rPr>
          <w:sz w:val="16"/>
          <w:szCs w:val="16"/>
        </w:rPr>
      </w:pPr>
      <w:r w:rsidRPr="006F6424">
        <w:rPr>
          <w:rStyle w:val="FootnoteReference"/>
          <w:sz w:val="16"/>
          <w:szCs w:val="16"/>
        </w:rPr>
        <w:footnoteRef/>
      </w:r>
      <w:r w:rsidRPr="006F6424">
        <w:rPr>
          <w:sz w:val="16"/>
          <w:szCs w:val="16"/>
        </w:rPr>
        <w:t xml:space="preserve"> Health workers alternate between calling for the caretaker and calling for the child which can create some confusion for the caretakers.</w:t>
      </w:r>
      <w:r>
        <w:rPr>
          <w:sz w:val="16"/>
          <w:szCs w:val="16"/>
        </w:rPr>
        <w:t xml:space="preserve"> The caretaker was Congolese so finds language a bit of a challenge. </w:t>
      </w:r>
    </w:p>
  </w:footnote>
  <w:footnote w:id="6">
    <w:p w14:paraId="49B5529A" w14:textId="77777777" w:rsidR="00C83111" w:rsidRPr="00F52CAD" w:rsidRDefault="00C83111">
      <w:pPr>
        <w:pStyle w:val="FootnoteText"/>
        <w:rPr>
          <w:sz w:val="16"/>
          <w:szCs w:val="16"/>
        </w:rPr>
      </w:pPr>
      <w:r w:rsidRPr="00F52CAD">
        <w:rPr>
          <w:rStyle w:val="FootnoteReference"/>
          <w:sz w:val="16"/>
          <w:szCs w:val="16"/>
        </w:rPr>
        <w:footnoteRef/>
      </w:r>
      <w:r w:rsidRPr="00F52CAD">
        <w:rPr>
          <w:sz w:val="16"/>
          <w:szCs w:val="16"/>
        </w:rPr>
        <w:t xml:space="preserve"> Facility-in-charge meetings include registered private sector providers. </w:t>
      </w:r>
    </w:p>
  </w:footnote>
  <w:footnote w:id="7">
    <w:p w14:paraId="4C2EBF94" w14:textId="77777777" w:rsidR="00C83111" w:rsidRPr="00F52CAD" w:rsidRDefault="00C83111">
      <w:pPr>
        <w:pStyle w:val="FootnoteText"/>
        <w:rPr>
          <w:sz w:val="16"/>
          <w:szCs w:val="16"/>
        </w:rPr>
      </w:pPr>
      <w:r w:rsidRPr="00F52CAD">
        <w:rPr>
          <w:rStyle w:val="FootnoteReference"/>
          <w:sz w:val="16"/>
          <w:szCs w:val="16"/>
        </w:rPr>
        <w:footnoteRef/>
      </w:r>
      <w:r w:rsidRPr="00F52CAD">
        <w:rPr>
          <w:sz w:val="16"/>
          <w:szCs w:val="16"/>
        </w:rPr>
        <w:t xml:space="preserve"> There is potential to have this right respected for those working in formal employment (full time or casually) as well as those working as domestic house help. </w:t>
      </w:r>
    </w:p>
  </w:footnote>
  <w:footnote w:id="8">
    <w:p w14:paraId="38785E3E" w14:textId="77777777" w:rsidR="00C83111" w:rsidRPr="00C037A1" w:rsidRDefault="00C83111">
      <w:pPr>
        <w:pStyle w:val="FootnoteText"/>
        <w:rPr>
          <w:sz w:val="16"/>
          <w:szCs w:val="16"/>
        </w:rPr>
      </w:pPr>
      <w:r w:rsidRPr="00C037A1">
        <w:rPr>
          <w:rStyle w:val="FootnoteReference"/>
          <w:sz w:val="16"/>
          <w:szCs w:val="16"/>
        </w:rPr>
        <w:footnoteRef/>
      </w:r>
      <w:r w:rsidRPr="00C037A1">
        <w:rPr>
          <w:sz w:val="16"/>
          <w:szCs w:val="16"/>
        </w:rPr>
        <w:t xml:space="preserve"> The child in question has a chronic growth issue for which she is getting specialist attention in </w:t>
      </w:r>
      <w:proofErr w:type="spellStart"/>
      <w:r w:rsidRPr="00C037A1">
        <w:rPr>
          <w:sz w:val="16"/>
          <w:szCs w:val="16"/>
        </w:rPr>
        <w:t>Langata</w:t>
      </w:r>
      <w:proofErr w:type="spellEnd"/>
      <w:r w:rsidRPr="00C037A1">
        <w:rPr>
          <w:sz w:val="16"/>
          <w:szCs w:val="16"/>
        </w:rPr>
        <w:t xml:space="preserve">. </w:t>
      </w:r>
    </w:p>
  </w:footnote>
  <w:footnote w:id="9">
    <w:p w14:paraId="7CC44351" w14:textId="77777777" w:rsidR="00C83111" w:rsidRPr="008F1AAC" w:rsidRDefault="00C83111">
      <w:pPr>
        <w:pStyle w:val="FootnoteText"/>
        <w:rPr>
          <w:sz w:val="16"/>
          <w:szCs w:val="16"/>
        </w:rPr>
      </w:pPr>
      <w:r w:rsidRPr="008F1AAC">
        <w:rPr>
          <w:rStyle w:val="FootnoteReference"/>
          <w:sz w:val="16"/>
          <w:szCs w:val="16"/>
        </w:rPr>
        <w:footnoteRef/>
      </w:r>
      <w:r w:rsidRPr="008F1AAC">
        <w:rPr>
          <w:sz w:val="16"/>
          <w:szCs w:val="16"/>
        </w:rPr>
        <w:t xml:space="preserve"> Zulu EM, </w:t>
      </w:r>
      <w:proofErr w:type="spellStart"/>
      <w:r w:rsidRPr="008F1AAC">
        <w:rPr>
          <w:sz w:val="16"/>
          <w:szCs w:val="16"/>
        </w:rPr>
        <w:t>Beguy</w:t>
      </w:r>
      <w:proofErr w:type="spellEnd"/>
      <w:r w:rsidRPr="008F1AAC">
        <w:rPr>
          <w:sz w:val="16"/>
          <w:szCs w:val="16"/>
        </w:rPr>
        <w:t xml:space="preserve"> D, </w:t>
      </w:r>
      <w:proofErr w:type="spellStart"/>
      <w:r w:rsidRPr="008F1AAC">
        <w:rPr>
          <w:sz w:val="16"/>
          <w:szCs w:val="16"/>
        </w:rPr>
        <w:t>Ezeh</w:t>
      </w:r>
      <w:proofErr w:type="spellEnd"/>
      <w:r w:rsidRPr="008F1AAC">
        <w:rPr>
          <w:sz w:val="16"/>
          <w:szCs w:val="16"/>
        </w:rPr>
        <w:t xml:space="preserve"> AC et al. 2011. </w:t>
      </w:r>
      <w:proofErr w:type="gramStart"/>
      <w:r w:rsidRPr="008F1AAC">
        <w:rPr>
          <w:sz w:val="16"/>
          <w:szCs w:val="16"/>
        </w:rPr>
        <w:t>Overview of migration, poverty and health dynamics in Nairobi City’s slum settlements.</w:t>
      </w:r>
      <w:proofErr w:type="gramEnd"/>
      <w:r w:rsidRPr="008F1AAC">
        <w:rPr>
          <w:sz w:val="16"/>
          <w:szCs w:val="16"/>
        </w:rPr>
        <w:t xml:space="preserve"> Journal of Urban Health, Bulletin of the New York Academy of Medicine 88: 185–99.</w:t>
      </w:r>
    </w:p>
  </w:footnote>
  <w:footnote w:id="10">
    <w:p w14:paraId="10576F9E" w14:textId="77777777" w:rsidR="00C83111" w:rsidRPr="008F1AAC" w:rsidRDefault="00C83111" w:rsidP="00722D01">
      <w:pPr>
        <w:pStyle w:val="FootnoteText"/>
        <w:rPr>
          <w:sz w:val="16"/>
          <w:szCs w:val="16"/>
        </w:rPr>
      </w:pPr>
      <w:r w:rsidRPr="008F1AAC">
        <w:rPr>
          <w:rStyle w:val="FootnoteReference"/>
          <w:sz w:val="16"/>
          <w:szCs w:val="16"/>
        </w:rPr>
        <w:footnoteRef/>
      </w:r>
      <w:r w:rsidRPr="008F1AAC">
        <w:rPr>
          <w:sz w:val="16"/>
          <w:szCs w:val="16"/>
        </w:rPr>
        <w:t xml:space="preserve"> </w:t>
      </w:r>
      <w:proofErr w:type="gramStart"/>
      <w:r w:rsidRPr="008F1AAC">
        <w:rPr>
          <w:sz w:val="16"/>
          <w:szCs w:val="16"/>
        </w:rPr>
        <w:t xml:space="preserve">Adams, A., </w:t>
      </w:r>
      <w:proofErr w:type="spellStart"/>
      <w:r w:rsidRPr="008F1AAC">
        <w:rPr>
          <w:sz w:val="16"/>
          <w:szCs w:val="16"/>
        </w:rPr>
        <w:t>Islan</w:t>
      </w:r>
      <w:proofErr w:type="spellEnd"/>
      <w:r w:rsidRPr="008F1AAC">
        <w:rPr>
          <w:sz w:val="16"/>
          <w:szCs w:val="16"/>
        </w:rPr>
        <w:t>, R. and T. Ahmed, 2015.</w:t>
      </w:r>
      <w:proofErr w:type="gramEnd"/>
      <w:r w:rsidRPr="008F1AAC">
        <w:rPr>
          <w:sz w:val="16"/>
          <w:szCs w:val="16"/>
        </w:rPr>
        <w:t xml:space="preserve"> Who serves the urban poor? </w:t>
      </w:r>
      <w:proofErr w:type="gramStart"/>
      <w:r w:rsidRPr="008F1AAC">
        <w:rPr>
          <w:sz w:val="16"/>
          <w:szCs w:val="16"/>
        </w:rPr>
        <w:t>A geospatial and descriptive analysis of health services in slum settlements in Dhaka, Bangladesh.</w:t>
      </w:r>
      <w:proofErr w:type="gramEnd"/>
      <w:r w:rsidRPr="008F1AAC">
        <w:rPr>
          <w:sz w:val="16"/>
          <w:szCs w:val="16"/>
        </w:rPr>
        <w:t xml:space="preserve"> Health Policy and Planning 2015</w:t>
      </w:r>
      <w:proofErr w:type="gramStart"/>
      <w:r w:rsidRPr="008F1AAC">
        <w:rPr>
          <w:sz w:val="16"/>
          <w:szCs w:val="16"/>
        </w:rPr>
        <w:t>;30:i32</w:t>
      </w:r>
      <w:proofErr w:type="gramEnd"/>
      <w:r w:rsidRPr="008F1AAC">
        <w:rPr>
          <w:sz w:val="16"/>
          <w:szCs w:val="16"/>
        </w:rPr>
        <w:t>–i45 doi:10.1093/</w:t>
      </w:r>
      <w:proofErr w:type="spellStart"/>
      <w:r w:rsidRPr="008F1AAC">
        <w:rPr>
          <w:sz w:val="16"/>
          <w:szCs w:val="16"/>
        </w:rPr>
        <w:t>heapol</w:t>
      </w:r>
      <w:proofErr w:type="spellEnd"/>
      <w:r w:rsidRPr="008F1AAC">
        <w:rPr>
          <w:sz w:val="16"/>
          <w:szCs w:val="16"/>
        </w:rPr>
        <w:t xml:space="preserve">/czu094. </w:t>
      </w:r>
    </w:p>
  </w:footnote>
  <w:footnote w:id="11">
    <w:p w14:paraId="0561B72D" w14:textId="77777777" w:rsidR="00C83111" w:rsidRPr="008F1AAC" w:rsidRDefault="00C83111">
      <w:pPr>
        <w:pStyle w:val="FootnoteText"/>
        <w:rPr>
          <w:sz w:val="16"/>
          <w:szCs w:val="16"/>
        </w:rPr>
      </w:pPr>
      <w:r w:rsidRPr="008F1AAC">
        <w:rPr>
          <w:rStyle w:val="FootnoteReference"/>
          <w:sz w:val="16"/>
          <w:szCs w:val="16"/>
        </w:rPr>
        <w:footnoteRef/>
      </w:r>
      <w:r w:rsidRPr="008F1AAC">
        <w:rPr>
          <w:sz w:val="16"/>
          <w:szCs w:val="16"/>
        </w:rPr>
        <w:t xml:space="preserve"> Sara </w:t>
      </w:r>
      <w:proofErr w:type="spellStart"/>
      <w:r w:rsidRPr="008F1AAC">
        <w:rPr>
          <w:sz w:val="16"/>
          <w:szCs w:val="16"/>
        </w:rPr>
        <w:t>MacKian</w:t>
      </w:r>
      <w:proofErr w:type="spellEnd"/>
      <w:r w:rsidRPr="008F1AAC">
        <w:rPr>
          <w:sz w:val="16"/>
          <w:szCs w:val="16"/>
        </w:rPr>
        <w:t xml:space="preserve">. A review of health seeking </w:t>
      </w:r>
      <w:proofErr w:type="spellStart"/>
      <w:r w:rsidRPr="008F1AAC">
        <w:rPr>
          <w:sz w:val="16"/>
          <w:szCs w:val="16"/>
        </w:rPr>
        <w:t>behaviour</w:t>
      </w:r>
      <w:proofErr w:type="spellEnd"/>
      <w:r w:rsidRPr="008F1AAC">
        <w:rPr>
          <w:sz w:val="16"/>
          <w:szCs w:val="16"/>
        </w:rPr>
        <w:t>: problems and prospects, DFID Health Systems Development Programme, HSD/WP/05/03.</w:t>
      </w:r>
    </w:p>
  </w:footnote>
  <w:footnote w:id="12">
    <w:p w14:paraId="10BCE45C" w14:textId="77777777" w:rsidR="00C83111" w:rsidRPr="008F1AAC" w:rsidRDefault="00C83111">
      <w:pPr>
        <w:pStyle w:val="FootnoteText"/>
        <w:rPr>
          <w:sz w:val="16"/>
          <w:szCs w:val="16"/>
        </w:rPr>
      </w:pPr>
      <w:r w:rsidRPr="008F1AAC">
        <w:rPr>
          <w:rStyle w:val="FootnoteReference"/>
          <w:sz w:val="16"/>
          <w:szCs w:val="16"/>
        </w:rPr>
        <w:footnoteRef/>
      </w:r>
      <w:r w:rsidRPr="008F1AAC">
        <w:rPr>
          <w:sz w:val="16"/>
          <w:szCs w:val="16"/>
        </w:rPr>
        <w:t xml:space="preserve"> </w:t>
      </w:r>
      <w:proofErr w:type="gramStart"/>
      <w:r w:rsidRPr="008F1AAC">
        <w:rPr>
          <w:rFonts w:cstheme="minorHAnsi"/>
          <w:sz w:val="16"/>
          <w:szCs w:val="16"/>
        </w:rPr>
        <w:t>(Bloom et al. 2011).</w:t>
      </w:r>
      <w:proofErr w:type="gramEnd"/>
    </w:p>
  </w:footnote>
  <w:footnote w:id="13">
    <w:p w14:paraId="39915AF0" w14:textId="77777777" w:rsidR="00C83111" w:rsidRDefault="00C83111">
      <w:pPr>
        <w:pStyle w:val="FootnoteText"/>
      </w:pPr>
      <w:r w:rsidRPr="008F1AAC">
        <w:rPr>
          <w:rStyle w:val="FootnoteReference"/>
          <w:sz w:val="16"/>
          <w:szCs w:val="16"/>
        </w:rPr>
        <w:footnoteRef/>
      </w:r>
      <w:r w:rsidRPr="008F1AAC">
        <w:rPr>
          <w:sz w:val="16"/>
          <w:szCs w:val="16"/>
        </w:rPr>
        <w:t xml:space="preserve"> Zulu EM, </w:t>
      </w:r>
      <w:proofErr w:type="spellStart"/>
      <w:r w:rsidRPr="008F1AAC">
        <w:rPr>
          <w:sz w:val="16"/>
          <w:szCs w:val="16"/>
        </w:rPr>
        <w:t>Beguy</w:t>
      </w:r>
      <w:proofErr w:type="spellEnd"/>
      <w:r w:rsidRPr="008F1AAC">
        <w:rPr>
          <w:sz w:val="16"/>
          <w:szCs w:val="16"/>
        </w:rPr>
        <w:t xml:space="preserve"> D, </w:t>
      </w:r>
      <w:proofErr w:type="spellStart"/>
      <w:r w:rsidRPr="008F1AAC">
        <w:rPr>
          <w:sz w:val="16"/>
          <w:szCs w:val="16"/>
        </w:rPr>
        <w:t>Ezeh</w:t>
      </w:r>
      <w:proofErr w:type="spellEnd"/>
      <w:r w:rsidRPr="008F1AAC">
        <w:rPr>
          <w:sz w:val="16"/>
          <w:szCs w:val="16"/>
        </w:rPr>
        <w:t xml:space="preserve"> AC et al. 2011. </w:t>
      </w:r>
      <w:proofErr w:type="gramStart"/>
      <w:r w:rsidRPr="008F1AAC">
        <w:rPr>
          <w:sz w:val="16"/>
          <w:szCs w:val="16"/>
        </w:rPr>
        <w:t>Overview of migration, poverty and health dynamics in Nairobi City’s slum settlements.</w:t>
      </w:r>
      <w:proofErr w:type="gramEnd"/>
      <w:r w:rsidRPr="008F1AAC">
        <w:rPr>
          <w:sz w:val="16"/>
          <w:szCs w:val="16"/>
        </w:rPr>
        <w:t xml:space="preserve"> Journal of Urban Health, Bulletin of the New York Academy of Medicine 88: 185–99.</w:t>
      </w:r>
    </w:p>
  </w:footnote>
  <w:footnote w:id="14">
    <w:p w14:paraId="185A87E6" w14:textId="77777777" w:rsidR="00C83111" w:rsidRPr="00CA1847" w:rsidRDefault="00C83111" w:rsidP="00420D96">
      <w:pPr>
        <w:pStyle w:val="FootnoteText"/>
        <w:rPr>
          <w:sz w:val="16"/>
          <w:szCs w:val="16"/>
        </w:rPr>
      </w:pPr>
      <w:r w:rsidRPr="00CA1847">
        <w:rPr>
          <w:rStyle w:val="FootnoteReference"/>
          <w:sz w:val="16"/>
          <w:szCs w:val="16"/>
        </w:rPr>
        <w:footnoteRef/>
      </w:r>
      <w:r w:rsidRPr="00CA1847">
        <w:rPr>
          <w:sz w:val="16"/>
          <w:szCs w:val="16"/>
        </w:rPr>
        <w:t xml:space="preserve"> </w:t>
      </w:r>
      <w:proofErr w:type="gramStart"/>
      <w:r w:rsidRPr="00CA1847">
        <w:rPr>
          <w:sz w:val="16"/>
          <w:szCs w:val="16"/>
        </w:rPr>
        <w:t>Republic of Kenya, Office of the President, 2006.</w:t>
      </w:r>
      <w:proofErr w:type="gramEnd"/>
      <w:r w:rsidRPr="00CA1847">
        <w:rPr>
          <w:sz w:val="16"/>
          <w:szCs w:val="16"/>
        </w:rPr>
        <w:t xml:space="preserve"> </w:t>
      </w:r>
      <w:proofErr w:type="gramStart"/>
      <w:r w:rsidRPr="00CA1847">
        <w:rPr>
          <w:sz w:val="16"/>
          <w:szCs w:val="16"/>
        </w:rPr>
        <w:t>Handbook for Civil Service Staff Induction, Directorate of Personnel Management, Nairobi, Kenya.</w:t>
      </w:r>
      <w:proofErr w:type="gramEnd"/>
    </w:p>
  </w:footnote>
  <w:footnote w:id="15">
    <w:p w14:paraId="641C4CCF" w14:textId="77777777" w:rsidR="00C83111" w:rsidRPr="00CA1847" w:rsidRDefault="00C83111">
      <w:pPr>
        <w:pStyle w:val="FootnoteText"/>
        <w:rPr>
          <w:sz w:val="16"/>
          <w:szCs w:val="16"/>
        </w:rPr>
      </w:pPr>
      <w:r w:rsidRPr="00CA1847">
        <w:rPr>
          <w:rStyle w:val="FootnoteReference"/>
          <w:sz w:val="16"/>
          <w:szCs w:val="16"/>
        </w:rPr>
        <w:footnoteRef/>
      </w:r>
      <w:r w:rsidRPr="00CA1847">
        <w:rPr>
          <w:sz w:val="16"/>
          <w:szCs w:val="16"/>
        </w:rPr>
        <w:t xml:space="preserve"> </w:t>
      </w:r>
      <w:r>
        <w:rPr>
          <w:sz w:val="16"/>
          <w:szCs w:val="16"/>
        </w:rPr>
        <w:t xml:space="preserve">An example of this can be accessed from </w:t>
      </w:r>
      <w:hyperlink r:id="rId1" w:history="1">
        <w:r w:rsidRPr="008B3F4D">
          <w:rPr>
            <w:rStyle w:val="Hyperlink"/>
            <w:sz w:val="16"/>
            <w:szCs w:val="16"/>
          </w:rPr>
          <w:t>http://www.iicd.org/articles/service-in-ugandan-health-clinics-improves-thanks-to-digital-patient-feedback</w:t>
        </w:r>
      </w:hyperlink>
      <w:r>
        <w:rPr>
          <w:sz w:val="16"/>
          <w:szCs w:val="16"/>
        </w:rPr>
        <w:t xml:space="preserve">. Note, reference to Uganda’s </w:t>
      </w:r>
      <w:proofErr w:type="spellStart"/>
      <w:r>
        <w:rPr>
          <w:sz w:val="16"/>
          <w:szCs w:val="16"/>
        </w:rPr>
        <w:t>mHealth</w:t>
      </w:r>
      <w:proofErr w:type="spellEnd"/>
      <w:r>
        <w:rPr>
          <w:sz w:val="16"/>
          <w:szCs w:val="16"/>
        </w:rPr>
        <w:t xml:space="preserve"> client feedback system was suggested by one Sub-County Medical Officer. </w:t>
      </w:r>
    </w:p>
  </w:footnote>
  <w:footnote w:id="16">
    <w:p w14:paraId="1596BA98" w14:textId="6F3129C9" w:rsidR="00C83111" w:rsidRPr="002B618A" w:rsidRDefault="00C83111">
      <w:pPr>
        <w:pStyle w:val="FootnoteText"/>
        <w:rPr>
          <w:sz w:val="16"/>
          <w:szCs w:val="16"/>
        </w:rPr>
      </w:pPr>
      <w:r w:rsidRPr="002B618A">
        <w:rPr>
          <w:rStyle w:val="FootnoteReference"/>
          <w:sz w:val="16"/>
          <w:szCs w:val="16"/>
        </w:rPr>
        <w:footnoteRef/>
      </w:r>
      <w:r w:rsidRPr="002B618A">
        <w:rPr>
          <w:sz w:val="16"/>
          <w:szCs w:val="16"/>
        </w:rPr>
        <w:t xml:space="preserve"> The measles booster at 18 months also provides additional opportunity for </w:t>
      </w:r>
      <w:r>
        <w:rPr>
          <w:sz w:val="16"/>
          <w:szCs w:val="16"/>
        </w:rPr>
        <w:t xml:space="preserve">GMP and nutrition counselling.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29C1" w14:textId="5C4C6864" w:rsidR="00C83111" w:rsidRDefault="00C83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F8BE" w14:textId="7A4DACA0" w:rsidR="00C83111" w:rsidRDefault="00C83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9CF1" w14:textId="4C4A5FDC" w:rsidR="00C83111" w:rsidRDefault="00C83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A8D"/>
    <w:multiLevelType w:val="hybridMultilevel"/>
    <w:tmpl w:val="4728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B3210"/>
    <w:multiLevelType w:val="hybridMultilevel"/>
    <w:tmpl w:val="9CC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A4FF5"/>
    <w:multiLevelType w:val="hybridMultilevel"/>
    <w:tmpl w:val="517A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67D28"/>
    <w:multiLevelType w:val="hybridMultilevel"/>
    <w:tmpl w:val="5EF68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957A8D"/>
    <w:multiLevelType w:val="hybridMultilevel"/>
    <w:tmpl w:val="2EA25E6C"/>
    <w:lvl w:ilvl="0" w:tplc="674671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D1413"/>
    <w:multiLevelType w:val="hybridMultilevel"/>
    <w:tmpl w:val="9352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E6D96"/>
    <w:multiLevelType w:val="hybridMultilevel"/>
    <w:tmpl w:val="E8BE8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3F5A34"/>
    <w:multiLevelType w:val="hybridMultilevel"/>
    <w:tmpl w:val="79C03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97A5A"/>
    <w:multiLevelType w:val="hybridMultilevel"/>
    <w:tmpl w:val="A954A01E"/>
    <w:lvl w:ilvl="0" w:tplc="08090001">
      <w:start w:val="1"/>
      <w:numFmt w:val="bullet"/>
      <w:lvlText w:val=""/>
      <w:lvlJc w:val="left"/>
      <w:pPr>
        <w:ind w:left="360" w:hanging="360"/>
      </w:pPr>
      <w:rPr>
        <w:rFonts w:ascii="Symbol" w:hAnsi="Symbol" w:hint="default"/>
      </w:rPr>
    </w:lvl>
    <w:lvl w:ilvl="1" w:tplc="1AFA66B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8230E7"/>
    <w:multiLevelType w:val="hybridMultilevel"/>
    <w:tmpl w:val="9870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426E4C"/>
    <w:multiLevelType w:val="hybridMultilevel"/>
    <w:tmpl w:val="C5C48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02E3B"/>
    <w:multiLevelType w:val="hybridMultilevel"/>
    <w:tmpl w:val="907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28038A"/>
    <w:multiLevelType w:val="hybridMultilevel"/>
    <w:tmpl w:val="16BA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BA155C"/>
    <w:multiLevelType w:val="hybridMultilevel"/>
    <w:tmpl w:val="706E9D10"/>
    <w:lvl w:ilvl="0" w:tplc="D21C19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0"/>
  </w:num>
  <w:num w:numId="6">
    <w:abstractNumId w:val="7"/>
  </w:num>
  <w:num w:numId="7">
    <w:abstractNumId w:val="10"/>
  </w:num>
  <w:num w:numId="8">
    <w:abstractNumId w:val="4"/>
  </w:num>
  <w:num w:numId="9">
    <w:abstractNumId w:val="13"/>
  </w:num>
  <w:num w:numId="10">
    <w:abstractNumId w:val="9"/>
  </w:num>
  <w:num w:numId="11">
    <w:abstractNumId w:val="12"/>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62"/>
    <w:rsid w:val="000216C7"/>
    <w:rsid w:val="0003377F"/>
    <w:rsid w:val="00044796"/>
    <w:rsid w:val="00045E96"/>
    <w:rsid w:val="00061730"/>
    <w:rsid w:val="00076148"/>
    <w:rsid w:val="000B14D7"/>
    <w:rsid w:val="000B55BD"/>
    <w:rsid w:val="000C3715"/>
    <w:rsid w:val="00116F85"/>
    <w:rsid w:val="00124609"/>
    <w:rsid w:val="00127CDF"/>
    <w:rsid w:val="001355AE"/>
    <w:rsid w:val="00136A41"/>
    <w:rsid w:val="00140D47"/>
    <w:rsid w:val="00141659"/>
    <w:rsid w:val="0015749F"/>
    <w:rsid w:val="00176E0B"/>
    <w:rsid w:val="00183925"/>
    <w:rsid w:val="001977E0"/>
    <w:rsid w:val="001C4754"/>
    <w:rsid w:val="001C4B07"/>
    <w:rsid w:val="001C577A"/>
    <w:rsid w:val="001D2CB4"/>
    <w:rsid w:val="001E0E57"/>
    <w:rsid w:val="00220F30"/>
    <w:rsid w:val="0022340B"/>
    <w:rsid w:val="00227A93"/>
    <w:rsid w:val="00232084"/>
    <w:rsid w:val="002378FC"/>
    <w:rsid w:val="0027262B"/>
    <w:rsid w:val="002727F2"/>
    <w:rsid w:val="00295A03"/>
    <w:rsid w:val="00297CE2"/>
    <w:rsid w:val="002A6111"/>
    <w:rsid w:val="002A6D8B"/>
    <w:rsid w:val="002B0B39"/>
    <w:rsid w:val="002B618A"/>
    <w:rsid w:val="002C772C"/>
    <w:rsid w:val="002E4277"/>
    <w:rsid w:val="002F336E"/>
    <w:rsid w:val="0030661A"/>
    <w:rsid w:val="00314278"/>
    <w:rsid w:val="00320EEC"/>
    <w:rsid w:val="00345E19"/>
    <w:rsid w:val="00355E39"/>
    <w:rsid w:val="003762E3"/>
    <w:rsid w:val="00376BD2"/>
    <w:rsid w:val="00391BA2"/>
    <w:rsid w:val="003A5BB0"/>
    <w:rsid w:val="003A77CB"/>
    <w:rsid w:val="003B003E"/>
    <w:rsid w:val="003B0622"/>
    <w:rsid w:val="003B3CBD"/>
    <w:rsid w:val="003C00F5"/>
    <w:rsid w:val="003C338C"/>
    <w:rsid w:val="003E23F3"/>
    <w:rsid w:val="003E33FA"/>
    <w:rsid w:val="00405DFD"/>
    <w:rsid w:val="0041100E"/>
    <w:rsid w:val="00414ACC"/>
    <w:rsid w:val="00420D96"/>
    <w:rsid w:val="004618A9"/>
    <w:rsid w:val="00465275"/>
    <w:rsid w:val="004661FC"/>
    <w:rsid w:val="00490E29"/>
    <w:rsid w:val="004B5FA2"/>
    <w:rsid w:val="004B6014"/>
    <w:rsid w:val="004C0896"/>
    <w:rsid w:val="004C2345"/>
    <w:rsid w:val="004D09FB"/>
    <w:rsid w:val="004E3347"/>
    <w:rsid w:val="004E6BA2"/>
    <w:rsid w:val="00501793"/>
    <w:rsid w:val="00501D5A"/>
    <w:rsid w:val="00502FBB"/>
    <w:rsid w:val="005049BE"/>
    <w:rsid w:val="00552AF0"/>
    <w:rsid w:val="0055451C"/>
    <w:rsid w:val="00557479"/>
    <w:rsid w:val="00567F67"/>
    <w:rsid w:val="0059524B"/>
    <w:rsid w:val="005E1915"/>
    <w:rsid w:val="00604E16"/>
    <w:rsid w:val="00613618"/>
    <w:rsid w:val="00624F86"/>
    <w:rsid w:val="006263C1"/>
    <w:rsid w:val="00627F41"/>
    <w:rsid w:val="006406A8"/>
    <w:rsid w:val="00645AC2"/>
    <w:rsid w:val="00647A34"/>
    <w:rsid w:val="00652C8C"/>
    <w:rsid w:val="00661163"/>
    <w:rsid w:val="00671D68"/>
    <w:rsid w:val="00695340"/>
    <w:rsid w:val="006B113D"/>
    <w:rsid w:val="006B1A3B"/>
    <w:rsid w:val="006D151B"/>
    <w:rsid w:val="006E1520"/>
    <w:rsid w:val="006E2801"/>
    <w:rsid w:val="006E359A"/>
    <w:rsid w:val="006F31EA"/>
    <w:rsid w:val="006F6424"/>
    <w:rsid w:val="00722D01"/>
    <w:rsid w:val="007277D5"/>
    <w:rsid w:val="007323B9"/>
    <w:rsid w:val="007330F0"/>
    <w:rsid w:val="00742CB8"/>
    <w:rsid w:val="00745D8F"/>
    <w:rsid w:val="00753FFA"/>
    <w:rsid w:val="007547D6"/>
    <w:rsid w:val="00755FA0"/>
    <w:rsid w:val="00757BED"/>
    <w:rsid w:val="007757B6"/>
    <w:rsid w:val="00777E52"/>
    <w:rsid w:val="00792B7D"/>
    <w:rsid w:val="007946F1"/>
    <w:rsid w:val="007A7654"/>
    <w:rsid w:val="007C174E"/>
    <w:rsid w:val="007E200B"/>
    <w:rsid w:val="007E6865"/>
    <w:rsid w:val="00806C30"/>
    <w:rsid w:val="00806DE9"/>
    <w:rsid w:val="0082590B"/>
    <w:rsid w:val="00845BAF"/>
    <w:rsid w:val="00850B09"/>
    <w:rsid w:val="008710EB"/>
    <w:rsid w:val="00871BD0"/>
    <w:rsid w:val="00886ACE"/>
    <w:rsid w:val="0089314E"/>
    <w:rsid w:val="008E408E"/>
    <w:rsid w:val="008E5FDA"/>
    <w:rsid w:val="008E6F36"/>
    <w:rsid w:val="008F1AAC"/>
    <w:rsid w:val="008F4029"/>
    <w:rsid w:val="00901AF2"/>
    <w:rsid w:val="00904434"/>
    <w:rsid w:val="00910ED4"/>
    <w:rsid w:val="00921517"/>
    <w:rsid w:val="00940AE0"/>
    <w:rsid w:val="009473C1"/>
    <w:rsid w:val="00955289"/>
    <w:rsid w:val="0096178C"/>
    <w:rsid w:val="00991FF8"/>
    <w:rsid w:val="009922DB"/>
    <w:rsid w:val="009946D6"/>
    <w:rsid w:val="009E33CE"/>
    <w:rsid w:val="009E6527"/>
    <w:rsid w:val="009F0219"/>
    <w:rsid w:val="00A0610F"/>
    <w:rsid w:val="00A101F8"/>
    <w:rsid w:val="00A30038"/>
    <w:rsid w:val="00A36E6E"/>
    <w:rsid w:val="00A41764"/>
    <w:rsid w:val="00A54BF4"/>
    <w:rsid w:val="00A54C8B"/>
    <w:rsid w:val="00A54E22"/>
    <w:rsid w:val="00A55336"/>
    <w:rsid w:val="00A64A43"/>
    <w:rsid w:val="00A83CBC"/>
    <w:rsid w:val="00A9088B"/>
    <w:rsid w:val="00AA1643"/>
    <w:rsid w:val="00AA71F6"/>
    <w:rsid w:val="00AB5A68"/>
    <w:rsid w:val="00AC08B7"/>
    <w:rsid w:val="00AC3F18"/>
    <w:rsid w:val="00AD62F0"/>
    <w:rsid w:val="00AE6578"/>
    <w:rsid w:val="00B00F9E"/>
    <w:rsid w:val="00B147DA"/>
    <w:rsid w:val="00B40EA8"/>
    <w:rsid w:val="00B60265"/>
    <w:rsid w:val="00B63F3B"/>
    <w:rsid w:val="00B642FE"/>
    <w:rsid w:val="00B74A43"/>
    <w:rsid w:val="00B81A52"/>
    <w:rsid w:val="00B94733"/>
    <w:rsid w:val="00B97FAA"/>
    <w:rsid w:val="00BB6FA4"/>
    <w:rsid w:val="00BC2FF4"/>
    <w:rsid w:val="00BD0226"/>
    <w:rsid w:val="00BE6FA3"/>
    <w:rsid w:val="00C02619"/>
    <w:rsid w:val="00C037A1"/>
    <w:rsid w:val="00C1216A"/>
    <w:rsid w:val="00C3733F"/>
    <w:rsid w:val="00C463C9"/>
    <w:rsid w:val="00C83111"/>
    <w:rsid w:val="00CA1355"/>
    <w:rsid w:val="00CA1847"/>
    <w:rsid w:val="00CC651D"/>
    <w:rsid w:val="00CD42FA"/>
    <w:rsid w:val="00CD4A0A"/>
    <w:rsid w:val="00CE11D0"/>
    <w:rsid w:val="00CE30E1"/>
    <w:rsid w:val="00CE3CFA"/>
    <w:rsid w:val="00CE43B0"/>
    <w:rsid w:val="00D32CF9"/>
    <w:rsid w:val="00D44DC4"/>
    <w:rsid w:val="00D47127"/>
    <w:rsid w:val="00D50BBC"/>
    <w:rsid w:val="00D644B5"/>
    <w:rsid w:val="00D67C65"/>
    <w:rsid w:val="00D70F7A"/>
    <w:rsid w:val="00D825FD"/>
    <w:rsid w:val="00D831F5"/>
    <w:rsid w:val="00D83A6B"/>
    <w:rsid w:val="00D94D93"/>
    <w:rsid w:val="00DC1B4F"/>
    <w:rsid w:val="00DD7BF1"/>
    <w:rsid w:val="00E170F3"/>
    <w:rsid w:val="00E25435"/>
    <w:rsid w:val="00E66FE4"/>
    <w:rsid w:val="00E8411E"/>
    <w:rsid w:val="00E8560E"/>
    <w:rsid w:val="00EB0014"/>
    <w:rsid w:val="00EB7CEA"/>
    <w:rsid w:val="00EC7575"/>
    <w:rsid w:val="00EE26AE"/>
    <w:rsid w:val="00EF628C"/>
    <w:rsid w:val="00F0737E"/>
    <w:rsid w:val="00F14162"/>
    <w:rsid w:val="00F20556"/>
    <w:rsid w:val="00F20CEA"/>
    <w:rsid w:val="00F35B94"/>
    <w:rsid w:val="00F43B8F"/>
    <w:rsid w:val="00F52CAD"/>
    <w:rsid w:val="00F54F22"/>
    <w:rsid w:val="00F7122E"/>
    <w:rsid w:val="00F7709E"/>
    <w:rsid w:val="00F8072F"/>
    <w:rsid w:val="00F848A9"/>
    <w:rsid w:val="00F84AE2"/>
    <w:rsid w:val="00F87714"/>
    <w:rsid w:val="00F945A7"/>
    <w:rsid w:val="00F9616F"/>
    <w:rsid w:val="00F97486"/>
    <w:rsid w:val="00FA2A29"/>
    <w:rsid w:val="00FA5A29"/>
    <w:rsid w:val="00FB5748"/>
    <w:rsid w:val="00FC1B6B"/>
    <w:rsid w:val="00FC4E78"/>
    <w:rsid w:val="00FE3115"/>
    <w:rsid w:val="00FE4A0C"/>
    <w:rsid w:val="00FE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3F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62F0"/>
    <w:pPr>
      <w:jc w:val="left"/>
    </w:pPr>
    <w:rPr>
      <w:rFonts w:eastAsiaTheme="minorEastAsia"/>
    </w:rPr>
  </w:style>
  <w:style w:type="character" w:customStyle="1" w:styleId="NoSpacingChar">
    <w:name w:val="No Spacing Char"/>
    <w:basedOn w:val="DefaultParagraphFont"/>
    <w:link w:val="NoSpacing"/>
    <w:uiPriority w:val="1"/>
    <w:rsid w:val="00AD62F0"/>
    <w:rPr>
      <w:rFonts w:eastAsiaTheme="minorEastAsia"/>
    </w:rPr>
  </w:style>
  <w:style w:type="character" w:customStyle="1" w:styleId="Heading1Char">
    <w:name w:val="Heading 1 Char"/>
    <w:basedOn w:val="DefaultParagraphFont"/>
    <w:link w:val="Heading1"/>
    <w:uiPriority w:val="9"/>
    <w:rsid w:val="00AD62F0"/>
    <w:rPr>
      <w:rFonts w:asciiTheme="majorHAnsi" w:eastAsiaTheme="majorEastAsia" w:hAnsiTheme="majorHAnsi" w:cstheme="majorBidi"/>
      <w:color w:val="2E74B5" w:themeColor="accent1" w:themeShade="BF"/>
      <w:sz w:val="32"/>
      <w:szCs w:val="32"/>
    </w:rPr>
  </w:style>
  <w:style w:type="table" w:customStyle="1" w:styleId="GridTable4-Accent61">
    <w:name w:val="Grid Table 4 - Accent 61"/>
    <w:basedOn w:val="TableNormal"/>
    <w:uiPriority w:val="49"/>
    <w:rsid w:val="00806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Footnote Text Char1,Footnote Text Char Char,Char,ALTS FOOTNOTE,single space,fn,footnote text,Fußnotentext arial,FOOTNOTES,Footnote Text Char2 Char,Footnote Text Char1 Char Char,Footnote Text Char2 Char Char Char,tex"/>
    <w:basedOn w:val="Normal"/>
    <w:link w:val="FootnoteTextChar"/>
    <w:semiHidden/>
    <w:unhideWhenUsed/>
    <w:rsid w:val="00901AF2"/>
    <w:rPr>
      <w:sz w:val="20"/>
      <w:szCs w:val="20"/>
    </w:rPr>
  </w:style>
  <w:style w:type="character" w:customStyle="1" w:styleId="FootnoteTextChar">
    <w:name w:val="Footnote Text Char"/>
    <w:aliases w:val="Footnote Text Char1 Char,Footnote Text Char Char Char,Char Char,ALTS FOOTNOTE Char,single space Char,fn Char,footnote text Char,Fußnotentext arial Char,FOOTNOTES Char,Footnote Text Char2 Char Char,Footnote Text Char1 Char Char Char"/>
    <w:basedOn w:val="DefaultParagraphFont"/>
    <w:link w:val="FootnoteText"/>
    <w:rsid w:val="00901AF2"/>
    <w:rPr>
      <w:sz w:val="20"/>
      <w:szCs w:val="20"/>
    </w:rPr>
  </w:style>
  <w:style w:type="character" w:styleId="FootnoteReference">
    <w:name w:val="footnote reference"/>
    <w:aliases w:val=" BVI fnr Char,BVI fnr Char, BVI fnr Car Car Char,BVI fnr Car Char, BVI fnr Car Car Car Car Char, BVI fnr Car Car Car Car Char Char, BVI fnr Car Car Car Car Char Car Char, BVI fnr תו Char Char Char,BVI fnr תו Char Char Char,ftref Char"/>
    <w:basedOn w:val="DefaultParagraphFont"/>
    <w:link w:val="BVIfnr"/>
    <w:semiHidden/>
    <w:unhideWhenUsed/>
    <w:rsid w:val="00901AF2"/>
    <w:rPr>
      <w:vertAlign w:val="superscript"/>
    </w:rPr>
  </w:style>
  <w:style w:type="paragraph" w:styleId="ListParagraph">
    <w:name w:val="List Paragraph"/>
    <w:basedOn w:val="Normal"/>
    <w:link w:val="ListParagraphChar"/>
    <w:uiPriority w:val="34"/>
    <w:qFormat/>
    <w:rsid w:val="003C00F5"/>
    <w:pPr>
      <w:spacing w:after="200" w:line="276" w:lineRule="auto"/>
      <w:ind w:left="720"/>
      <w:contextualSpacing/>
      <w:jc w:val="left"/>
    </w:pPr>
    <w:rPr>
      <w:rFonts w:ascii="Calibri" w:eastAsia="Calibri" w:hAnsi="Calibri" w:cs="Times New Roman"/>
    </w:rPr>
  </w:style>
  <w:style w:type="character" w:customStyle="1" w:styleId="ListParagraphChar">
    <w:name w:val="List Paragraph Char"/>
    <w:basedOn w:val="DefaultParagraphFont"/>
    <w:link w:val="ListParagraph"/>
    <w:locked/>
    <w:rsid w:val="003C00F5"/>
    <w:rPr>
      <w:rFonts w:ascii="Calibri" w:eastAsia="Calibri" w:hAnsi="Calibri" w:cs="Times New Roman"/>
    </w:rPr>
  </w:style>
  <w:style w:type="paragraph" w:styleId="Caption">
    <w:name w:val="caption"/>
    <w:basedOn w:val="Normal"/>
    <w:next w:val="Normal"/>
    <w:qFormat/>
    <w:rsid w:val="003C00F5"/>
    <w:pPr>
      <w:spacing w:after="200"/>
      <w:jc w:val="left"/>
    </w:pPr>
    <w:rPr>
      <w:rFonts w:ascii="Calibri" w:eastAsia="Calibri" w:hAnsi="Calibri" w:cs="Times New Roman"/>
      <w:b/>
      <w:bCs/>
      <w:color w:val="4F81BD"/>
      <w:sz w:val="18"/>
      <w:szCs w:val="18"/>
    </w:rPr>
  </w:style>
  <w:style w:type="paragraph" w:customStyle="1" w:styleId="BVIfnr">
    <w:name w:val="BVI fnr"/>
    <w:aliases w:val=" BVI fnr Car Car,BVI fnr Car, BVI fnr Car Car Car Car, BVI fnr Car Car Car Car Char1, BVI fnr Car Car Car Car Char Car, BVI fnr תו Char Char,BVI fnr תו Char Char, BVI fnr Car Car תו Char Char,BVI fnr Car תו Char Char,ftref,BVI fnr Car Car"/>
    <w:basedOn w:val="Normal"/>
    <w:link w:val="FootnoteReference"/>
    <w:rsid w:val="003C00F5"/>
    <w:pPr>
      <w:spacing w:after="160" w:line="240" w:lineRule="exact"/>
      <w:jc w:val="left"/>
    </w:pPr>
    <w:rPr>
      <w:vertAlign w:val="superscript"/>
    </w:rPr>
  </w:style>
  <w:style w:type="character" w:customStyle="1" w:styleId="Heading2Char">
    <w:name w:val="Heading 2 Char"/>
    <w:basedOn w:val="DefaultParagraphFont"/>
    <w:link w:val="Heading2"/>
    <w:uiPriority w:val="9"/>
    <w:rsid w:val="00EC75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3F1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71BD0"/>
    <w:pPr>
      <w:spacing w:line="259" w:lineRule="auto"/>
      <w:jc w:val="left"/>
      <w:outlineLvl w:val="9"/>
    </w:pPr>
  </w:style>
  <w:style w:type="paragraph" w:styleId="TOC1">
    <w:name w:val="toc 1"/>
    <w:basedOn w:val="Normal"/>
    <w:next w:val="Normal"/>
    <w:autoRedefine/>
    <w:uiPriority w:val="39"/>
    <w:unhideWhenUsed/>
    <w:rsid w:val="00871BD0"/>
    <w:pPr>
      <w:spacing w:after="100"/>
    </w:pPr>
  </w:style>
  <w:style w:type="paragraph" w:styleId="TOC2">
    <w:name w:val="toc 2"/>
    <w:basedOn w:val="Normal"/>
    <w:next w:val="Normal"/>
    <w:autoRedefine/>
    <w:uiPriority w:val="39"/>
    <w:unhideWhenUsed/>
    <w:rsid w:val="00871BD0"/>
    <w:pPr>
      <w:spacing w:after="100"/>
      <w:ind w:left="220"/>
    </w:pPr>
  </w:style>
  <w:style w:type="paragraph" w:styleId="TOC3">
    <w:name w:val="toc 3"/>
    <w:basedOn w:val="Normal"/>
    <w:next w:val="Normal"/>
    <w:autoRedefine/>
    <w:uiPriority w:val="39"/>
    <w:unhideWhenUsed/>
    <w:rsid w:val="00871BD0"/>
    <w:pPr>
      <w:spacing w:after="100"/>
      <w:ind w:left="440"/>
    </w:pPr>
  </w:style>
  <w:style w:type="character" w:styleId="Hyperlink">
    <w:name w:val="Hyperlink"/>
    <w:basedOn w:val="DefaultParagraphFont"/>
    <w:uiPriority w:val="99"/>
    <w:unhideWhenUsed/>
    <w:rsid w:val="00871BD0"/>
    <w:rPr>
      <w:color w:val="0563C1" w:themeColor="hyperlink"/>
      <w:u w:val="single"/>
    </w:rPr>
  </w:style>
  <w:style w:type="paragraph" w:styleId="BalloonText">
    <w:name w:val="Balloon Text"/>
    <w:basedOn w:val="Normal"/>
    <w:link w:val="BalloonTextChar"/>
    <w:uiPriority w:val="99"/>
    <w:semiHidden/>
    <w:unhideWhenUsed/>
    <w:rsid w:val="006B113D"/>
    <w:rPr>
      <w:rFonts w:ascii="Tahoma" w:hAnsi="Tahoma" w:cs="Tahoma"/>
      <w:sz w:val="16"/>
      <w:szCs w:val="16"/>
    </w:rPr>
  </w:style>
  <w:style w:type="character" w:customStyle="1" w:styleId="BalloonTextChar">
    <w:name w:val="Balloon Text Char"/>
    <w:basedOn w:val="DefaultParagraphFont"/>
    <w:link w:val="BalloonText"/>
    <w:uiPriority w:val="99"/>
    <w:semiHidden/>
    <w:rsid w:val="006B113D"/>
    <w:rPr>
      <w:rFonts w:ascii="Tahoma" w:hAnsi="Tahoma" w:cs="Tahoma"/>
      <w:sz w:val="16"/>
      <w:szCs w:val="16"/>
    </w:rPr>
  </w:style>
  <w:style w:type="character" w:styleId="CommentReference">
    <w:name w:val="annotation reference"/>
    <w:basedOn w:val="DefaultParagraphFont"/>
    <w:uiPriority w:val="99"/>
    <w:semiHidden/>
    <w:unhideWhenUsed/>
    <w:rsid w:val="004B6014"/>
    <w:rPr>
      <w:sz w:val="16"/>
      <w:szCs w:val="16"/>
    </w:rPr>
  </w:style>
  <w:style w:type="paragraph" w:styleId="CommentText">
    <w:name w:val="annotation text"/>
    <w:basedOn w:val="Normal"/>
    <w:link w:val="CommentTextChar"/>
    <w:uiPriority w:val="99"/>
    <w:semiHidden/>
    <w:unhideWhenUsed/>
    <w:rsid w:val="004B6014"/>
    <w:rPr>
      <w:sz w:val="20"/>
      <w:szCs w:val="20"/>
    </w:rPr>
  </w:style>
  <w:style w:type="character" w:customStyle="1" w:styleId="CommentTextChar">
    <w:name w:val="Comment Text Char"/>
    <w:basedOn w:val="DefaultParagraphFont"/>
    <w:link w:val="CommentText"/>
    <w:uiPriority w:val="99"/>
    <w:semiHidden/>
    <w:rsid w:val="004B6014"/>
    <w:rPr>
      <w:sz w:val="20"/>
      <w:szCs w:val="20"/>
    </w:rPr>
  </w:style>
  <w:style w:type="paragraph" w:styleId="CommentSubject">
    <w:name w:val="annotation subject"/>
    <w:basedOn w:val="CommentText"/>
    <w:next w:val="CommentText"/>
    <w:link w:val="CommentSubjectChar"/>
    <w:uiPriority w:val="99"/>
    <w:semiHidden/>
    <w:unhideWhenUsed/>
    <w:rsid w:val="004B6014"/>
    <w:rPr>
      <w:b/>
      <w:bCs/>
    </w:rPr>
  </w:style>
  <w:style w:type="character" w:customStyle="1" w:styleId="CommentSubjectChar">
    <w:name w:val="Comment Subject Char"/>
    <w:basedOn w:val="CommentTextChar"/>
    <w:link w:val="CommentSubject"/>
    <w:uiPriority w:val="99"/>
    <w:semiHidden/>
    <w:rsid w:val="004B6014"/>
    <w:rPr>
      <w:b/>
      <w:bCs/>
      <w:sz w:val="20"/>
      <w:szCs w:val="20"/>
    </w:rPr>
  </w:style>
  <w:style w:type="paragraph" w:styleId="Header">
    <w:name w:val="header"/>
    <w:basedOn w:val="Normal"/>
    <w:link w:val="HeaderChar"/>
    <w:uiPriority w:val="99"/>
    <w:unhideWhenUsed/>
    <w:rsid w:val="008E6F36"/>
    <w:pPr>
      <w:tabs>
        <w:tab w:val="center" w:pos="4680"/>
        <w:tab w:val="right" w:pos="9360"/>
      </w:tabs>
    </w:pPr>
  </w:style>
  <w:style w:type="character" w:customStyle="1" w:styleId="HeaderChar">
    <w:name w:val="Header Char"/>
    <w:basedOn w:val="DefaultParagraphFont"/>
    <w:link w:val="Header"/>
    <w:uiPriority w:val="99"/>
    <w:rsid w:val="008E6F36"/>
  </w:style>
  <w:style w:type="paragraph" w:styleId="Footer">
    <w:name w:val="footer"/>
    <w:basedOn w:val="Normal"/>
    <w:link w:val="FooterChar"/>
    <w:uiPriority w:val="99"/>
    <w:unhideWhenUsed/>
    <w:rsid w:val="008E6F36"/>
    <w:pPr>
      <w:tabs>
        <w:tab w:val="center" w:pos="4680"/>
        <w:tab w:val="right" w:pos="9360"/>
      </w:tabs>
    </w:pPr>
  </w:style>
  <w:style w:type="character" w:customStyle="1" w:styleId="FooterChar">
    <w:name w:val="Footer Char"/>
    <w:basedOn w:val="DefaultParagraphFont"/>
    <w:link w:val="Footer"/>
    <w:uiPriority w:val="99"/>
    <w:rsid w:val="008E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2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3F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62F0"/>
    <w:pPr>
      <w:jc w:val="left"/>
    </w:pPr>
    <w:rPr>
      <w:rFonts w:eastAsiaTheme="minorEastAsia"/>
    </w:rPr>
  </w:style>
  <w:style w:type="character" w:customStyle="1" w:styleId="NoSpacingChar">
    <w:name w:val="No Spacing Char"/>
    <w:basedOn w:val="DefaultParagraphFont"/>
    <w:link w:val="NoSpacing"/>
    <w:uiPriority w:val="1"/>
    <w:rsid w:val="00AD62F0"/>
    <w:rPr>
      <w:rFonts w:eastAsiaTheme="minorEastAsia"/>
    </w:rPr>
  </w:style>
  <w:style w:type="character" w:customStyle="1" w:styleId="Heading1Char">
    <w:name w:val="Heading 1 Char"/>
    <w:basedOn w:val="DefaultParagraphFont"/>
    <w:link w:val="Heading1"/>
    <w:uiPriority w:val="9"/>
    <w:rsid w:val="00AD62F0"/>
    <w:rPr>
      <w:rFonts w:asciiTheme="majorHAnsi" w:eastAsiaTheme="majorEastAsia" w:hAnsiTheme="majorHAnsi" w:cstheme="majorBidi"/>
      <w:color w:val="2E74B5" w:themeColor="accent1" w:themeShade="BF"/>
      <w:sz w:val="32"/>
      <w:szCs w:val="32"/>
    </w:rPr>
  </w:style>
  <w:style w:type="table" w:customStyle="1" w:styleId="GridTable4-Accent61">
    <w:name w:val="Grid Table 4 - Accent 61"/>
    <w:basedOn w:val="TableNormal"/>
    <w:uiPriority w:val="49"/>
    <w:rsid w:val="00806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Footnote Text Char1,Footnote Text Char Char,Char,ALTS FOOTNOTE,single space,fn,footnote text,Fußnotentext arial,FOOTNOTES,Footnote Text Char2 Char,Footnote Text Char1 Char Char,Footnote Text Char2 Char Char Char,tex"/>
    <w:basedOn w:val="Normal"/>
    <w:link w:val="FootnoteTextChar"/>
    <w:semiHidden/>
    <w:unhideWhenUsed/>
    <w:rsid w:val="00901AF2"/>
    <w:rPr>
      <w:sz w:val="20"/>
      <w:szCs w:val="20"/>
    </w:rPr>
  </w:style>
  <w:style w:type="character" w:customStyle="1" w:styleId="FootnoteTextChar">
    <w:name w:val="Footnote Text Char"/>
    <w:aliases w:val="Footnote Text Char1 Char,Footnote Text Char Char Char,Char Char,ALTS FOOTNOTE Char,single space Char,fn Char,footnote text Char,Fußnotentext arial Char,FOOTNOTES Char,Footnote Text Char2 Char Char,Footnote Text Char1 Char Char Char"/>
    <w:basedOn w:val="DefaultParagraphFont"/>
    <w:link w:val="FootnoteText"/>
    <w:rsid w:val="00901AF2"/>
    <w:rPr>
      <w:sz w:val="20"/>
      <w:szCs w:val="20"/>
    </w:rPr>
  </w:style>
  <w:style w:type="character" w:styleId="FootnoteReference">
    <w:name w:val="footnote reference"/>
    <w:aliases w:val=" BVI fnr Char,BVI fnr Char, BVI fnr Car Car Char,BVI fnr Car Char, BVI fnr Car Car Car Car Char, BVI fnr Car Car Car Car Char Char, BVI fnr Car Car Car Car Char Car Char, BVI fnr תו Char Char Char,BVI fnr תו Char Char Char,ftref Char"/>
    <w:basedOn w:val="DefaultParagraphFont"/>
    <w:link w:val="BVIfnr"/>
    <w:semiHidden/>
    <w:unhideWhenUsed/>
    <w:rsid w:val="00901AF2"/>
    <w:rPr>
      <w:vertAlign w:val="superscript"/>
    </w:rPr>
  </w:style>
  <w:style w:type="paragraph" w:styleId="ListParagraph">
    <w:name w:val="List Paragraph"/>
    <w:basedOn w:val="Normal"/>
    <w:link w:val="ListParagraphChar"/>
    <w:uiPriority w:val="34"/>
    <w:qFormat/>
    <w:rsid w:val="003C00F5"/>
    <w:pPr>
      <w:spacing w:after="200" w:line="276" w:lineRule="auto"/>
      <w:ind w:left="720"/>
      <w:contextualSpacing/>
      <w:jc w:val="left"/>
    </w:pPr>
    <w:rPr>
      <w:rFonts w:ascii="Calibri" w:eastAsia="Calibri" w:hAnsi="Calibri" w:cs="Times New Roman"/>
    </w:rPr>
  </w:style>
  <w:style w:type="character" w:customStyle="1" w:styleId="ListParagraphChar">
    <w:name w:val="List Paragraph Char"/>
    <w:basedOn w:val="DefaultParagraphFont"/>
    <w:link w:val="ListParagraph"/>
    <w:locked/>
    <w:rsid w:val="003C00F5"/>
    <w:rPr>
      <w:rFonts w:ascii="Calibri" w:eastAsia="Calibri" w:hAnsi="Calibri" w:cs="Times New Roman"/>
    </w:rPr>
  </w:style>
  <w:style w:type="paragraph" w:styleId="Caption">
    <w:name w:val="caption"/>
    <w:basedOn w:val="Normal"/>
    <w:next w:val="Normal"/>
    <w:qFormat/>
    <w:rsid w:val="003C00F5"/>
    <w:pPr>
      <w:spacing w:after="200"/>
      <w:jc w:val="left"/>
    </w:pPr>
    <w:rPr>
      <w:rFonts w:ascii="Calibri" w:eastAsia="Calibri" w:hAnsi="Calibri" w:cs="Times New Roman"/>
      <w:b/>
      <w:bCs/>
      <w:color w:val="4F81BD"/>
      <w:sz w:val="18"/>
      <w:szCs w:val="18"/>
    </w:rPr>
  </w:style>
  <w:style w:type="paragraph" w:customStyle="1" w:styleId="BVIfnr">
    <w:name w:val="BVI fnr"/>
    <w:aliases w:val=" BVI fnr Car Car,BVI fnr Car, BVI fnr Car Car Car Car, BVI fnr Car Car Car Car Char1, BVI fnr Car Car Car Car Char Car, BVI fnr תו Char Char,BVI fnr תו Char Char, BVI fnr Car Car תו Char Char,BVI fnr Car תו Char Char,ftref,BVI fnr Car Car"/>
    <w:basedOn w:val="Normal"/>
    <w:link w:val="FootnoteReference"/>
    <w:rsid w:val="003C00F5"/>
    <w:pPr>
      <w:spacing w:after="160" w:line="240" w:lineRule="exact"/>
      <w:jc w:val="left"/>
    </w:pPr>
    <w:rPr>
      <w:vertAlign w:val="superscript"/>
    </w:rPr>
  </w:style>
  <w:style w:type="character" w:customStyle="1" w:styleId="Heading2Char">
    <w:name w:val="Heading 2 Char"/>
    <w:basedOn w:val="DefaultParagraphFont"/>
    <w:link w:val="Heading2"/>
    <w:uiPriority w:val="9"/>
    <w:rsid w:val="00EC75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3F1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71BD0"/>
    <w:pPr>
      <w:spacing w:line="259" w:lineRule="auto"/>
      <w:jc w:val="left"/>
      <w:outlineLvl w:val="9"/>
    </w:pPr>
  </w:style>
  <w:style w:type="paragraph" w:styleId="TOC1">
    <w:name w:val="toc 1"/>
    <w:basedOn w:val="Normal"/>
    <w:next w:val="Normal"/>
    <w:autoRedefine/>
    <w:uiPriority w:val="39"/>
    <w:unhideWhenUsed/>
    <w:rsid w:val="00871BD0"/>
    <w:pPr>
      <w:spacing w:after="100"/>
    </w:pPr>
  </w:style>
  <w:style w:type="paragraph" w:styleId="TOC2">
    <w:name w:val="toc 2"/>
    <w:basedOn w:val="Normal"/>
    <w:next w:val="Normal"/>
    <w:autoRedefine/>
    <w:uiPriority w:val="39"/>
    <w:unhideWhenUsed/>
    <w:rsid w:val="00871BD0"/>
    <w:pPr>
      <w:spacing w:after="100"/>
      <w:ind w:left="220"/>
    </w:pPr>
  </w:style>
  <w:style w:type="paragraph" w:styleId="TOC3">
    <w:name w:val="toc 3"/>
    <w:basedOn w:val="Normal"/>
    <w:next w:val="Normal"/>
    <w:autoRedefine/>
    <w:uiPriority w:val="39"/>
    <w:unhideWhenUsed/>
    <w:rsid w:val="00871BD0"/>
    <w:pPr>
      <w:spacing w:after="100"/>
      <w:ind w:left="440"/>
    </w:pPr>
  </w:style>
  <w:style w:type="character" w:styleId="Hyperlink">
    <w:name w:val="Hyperlink"/>
    <w:basedOn w:val="DefaultParagraphFont"/>
    <w:uiPriority w:val="99"/>
    <w:unhideWhenUsed/>
    <w:rsid w:val="00871BD0"/>
    <w:rPr>
      <w:color w:val="0563C1" w:themeColor="hyperlink"/>
      <w:u w:val="single"/>
    </w:rPr>
  </w:style>
  <w:style w:type="paragraph" w:styleId="BalloonText">
    <w:name w:val="Balloon Text"/>
    <w:basedOn w:val="Normal"/>
    <w:link w:val="BalloonTextChar"/>
    <w:uiPriority w:val="99"/>
    <w:semiHidden/>
    <w:unhideWhenUsed/>
    <w:rsid w:val="006B113D"/>
    <w:rPr>
      <w:rFonts w:ascii="Tahoma" w:hAnsi="Tahoma" w:cs="Tahoma"/>
      <w:sz w:val="16"/>
      <w:szCs w:val="16"/>
    </w:rPr>
  </w:style>
  <w:style w:type="character" w:customStyle="1" w:styleId="BalloonTextChar">
    <w:name w:val="Balloon Text Char"/>
    <w:basedOn w:val="DefaultParagraphFont"/>
    <w:link w:val="BalloonText"/>
    <w:uiPriority w:val="99"/>
    <w:semiHidden/>
    <w:rsid w:val="006B113D"/>
    <w:rPr>
      <w:rFonts w:ascii="Tahoma" w:hAnsi="Tahoma" w:cs="Tahoma"/>
      <w:sz w:val="16"/>
      <w:szCs w:val="16"/>
    </w:rPr>
  </w:style>
  <w:style w:type="character" w:styleId="CommentReference">
    <w:name w:val="annotation reference"/>
    <w:basedOn w:val="DefaultParagraphFont"/>
    <w:uiPriority w:val="99"/>
    <w:semiHidden/>
    <w:unhideWhenUsed/>
    <w:rsid w:val="004B6014"/>
    <w:rPr>
      <w:sz w:val="16"/>
      <w:szCs w:val="16"/>
    </w:rPr>
  </w:style>
  <w:style w:type="paragraph" w:styleId="CommentText">
    <w:name w:val="annotation text"/>
    <w:basedOn w:val="Normal"/>
    <w:link w:val="CommentTextChar"/>
    <w:uiPriority w:val="99"/>
    <w:semiHidden/>
    <w:unhideWhenUsed/>
    <w:rsid w:val="004B6014"/>
    <w:rPr>
      <w:sz w:val="20"/>
      <w:szCs w:val="20"/>
    </w:rPr>
  </w:style>
  <w:style w:type="character" w:customStyle="1" w:styleId="CommentTextChar">
    <w:name w:val="Comment Text Char"/>
    <w:basedOn w:val="DefaultParagraphFont"/>
    <w:link w:val="CommentText"/>
    <w:uiPriority w:val="99"/>
    <w:semiHidden/>
    <w:rsid w:val="004B6014"/>
    <w:rPr>
      <w:sz w:val="20"/>
      <w:szCs w:val="20"/>
    </w:rPr>
  </w:style>
  <w:style w:type="paragraph" w:styleId="CommentSubject">
    <w:name w:val="annotation subject"/>
    <w:basedOn w:val="CommentText"/>
    <w:next w:val="CommentText"/>
    <w:link w:val="CommentSubjectChar"/>
    <w:uiPriority w:val="99"/>
    <w:semiHidden/>
    <w:unhideWhenUsed/>
    <w:rsid w:val="004B6014"/>
    <w:rPr>
      <w:b/>
      <w:bCs/>
    </w:rPr>
  </w:style>
  <w:style w:type="character" w:customStyle="1" w:styleId="CommentSubjectChar">
    <w:name w:val="Comment Subject Char"/>
    <w:basedOn w:val="CommentTextChar"/>
    <w:link w:val="CommentSubject"/>
    <w:uiPriority w:val="99"/>
    <w:semiHidden/>
    <w:rsid w:val="004B6014"/>
    <w:rPr>
      <w:b/>
      <w:bCs/>
      <w:sz w:val="20"/>
      <w:szCs w:val="20"/>
    </w:rPr>
  </w:style>
  <w:style w:type="paragraph" w:styleId="Header">
    <w:name w:val="header"/>
    <w:basedOn w:val="Normal"/>
    <w:link w:val="HeaderChar"/>
    <w:uiPriority w:val="99"/>
    <w:unhideWhenUsed/>
    <w:rsid w:val="008E6F36"/>
    <w:pPr>
      <w:tabs>
        <w:tab w:val="center" w:pos="4680"/>
        <w:tab w:val="right" w:pos="9360"/>
      </w:tabs>
    </w:pPr>
  </w:style>
  <w:style w:type="character" w:customStyle="1" w:styleId="HeaderChar">
    <w:name w:val="Header Char"/>
    <w:basedOn w:val="DefaultParagraphFont"/>
    <w:link w:val="Header"/>
    <w:uiPriority w:val="99"/>
    <w:rsid w:val="008E6F36"/>
  </w:style>
  <w:style w:type="paragraph" w:styleId="Footer">
    <w:name w:val="footer"/>
    <w:basedOn w:val="Normal"/>
    <w:link w:val="FooterChar"/>
    <w:uiPriority w:val="99"/>
    <w:unhideWhenUsed/>
    <w:rsid w:val="008E6F36"/>
    <w:pPr>
      <w:tabs>
        <w:tab w:val="center" w:pos="4680"/>
        <w:tab w:val="right" w:pos="9360"/>
      </w:tabs>
    </w:pPr>
  </w:style>
  <w:style w:type="character" w:customStyle="1" w:styleId="FooterChar">
    <w:name w:val="Footer Char"/>
    <w:basedOn w:val="DefaultParagraphFont"/>
    <w:link w:val="Footer"/>
    <w:uiPriority w:val="99"/>
    <w:rsid w:val="008E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icd.org/articles/service-in-ugandan-health-clinics-improves-thanks-to-digital-patient-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ation" ma:contentTypeID="0x010100B18617695585384CB7D6C977765D3BB300BECCCC8E38DA374C8D3A9D5646DC357B" ma:contentTypeVersion="45" ma:contentTypeDescription="" ma:contentTypeScope="" ma:versionID="b8e6a29ffa3b91e05d8d5b1f0c46a85a">
  <xsd:schema xmlns:xsd="http://www.w3.org/2001/XMLSchema" xmlns:xs="http://www.w3.org/2001/XMLSchema" xmlns:p="http://schemas.microsoft.com/office/2006/metadata/properties" xmlns:ns2="804a0009-2e1b-4edc-b4d3-23f450f15032" xmlns:ns3="http://schemas.microsoft.com/sharepoint.v3" xmlns:ns4="9b22ab7b-74ac-4f60-81b0-e329b1172e7c" xmlns:ns5="http://schemas.microsoft.com/sharepoint/v4" targetNamespace="http://schemas.microsoft.com/office/2006/metadata/properties" ma:root="true" ma:fieldsID="3077fae63f3b67ef04a59a7a118cda18" ns2:_="" ns3:_="" ns4:_="" ns5:_="">
    <xsd:import namespace="804a0009-2e1b-4edc-b4d3-23f450f15032"/>
    <xsd:import namespace="http://schemas.microsoft.com/sharepoint.v3"/>
    <xsd:import namespace="9b22ab7b-74ac-4f60-81b0-e329b1172e7c"/>
    <xsd:import namespace="http://schemas.microsoft.com/sharepoint/v4"/>
    <xsd:element name="properties">
      <xsd:complexType>
        <xsd:sequence>
          <xsd:element name="documentManagement">
            <xsd:complexType>
              <xsd:all>
                <xsd:element ref="ns2:Year" minOccurs="0"/>
                <xsd:element ref="ns3:Description0" minOccurs="0"/>
                <xsd:element ref="ns4:Author0" minOccurs="0"/>
                <xsd:element ref="ns4:Theme0" minOccurs="0"/>
                <xsd:element ref="ns4:External" minOccurs="0"/>
                <xsd:element ref="ns4:Introduction" minOccurs="0"/>
                <xsd:element ref="ns4:Abstract" minOccurs="0"/>
                <xsd:element ref="ns4:External_x0020_Image" minOccurs="0"/>
                <xsd:element ref="ns4:Article_x0020_Category" minOccurs="0"/>
                <xsd:element ref="ns4:Overridden" minOccurs="0"/>
                <xsd:element ref="ns4:Migrated_x0020_from_x0020_Drupal" minOccurs="0"/>
                <xsd:element ref="ns2:SharingHintHash" minOccurs="0"/>
                <xsd:element ref="ns2:SharedWithDetails" minOccurs="0"/>
                <xsd:element ref="ns2:TaxCatchAllLabel" minOccurs="0"/>
                <xsd:element ref="ns5:IconOverlay" minOccurs="0"/>
                <xsd:element ref="ns2:KBCTMarker" minOccurs="0"/>
                <xsd:element ref="ns2:gc4732adc7b14430b477778f19f3f1a7" minOccurs="0"/>
                <xsd:element ref="ns4:eb5dd72f347d4f10b95e30e421f9e743" minOccurs="0"/>
                <xsd:element ref="ns4:f365c88cc6764e93af5da50923d99ce0" minOccurs="0"/>
                <xsd:element ref="ns2:kd17dbc970664b69b4e69e53ca44ac55" minOccurs="0"/>
                <xsd:element ref="ns4:f21919b5c8e14011a41081e18f16811c" minOccurs="0"/>
                <xsd:element ref="ns4:gaeb795a50b74d7286c1f48f2959761d" minOccurs="0"/>
                <xsd:element ref="ns2:TaxCatchAll" minOccurs="0"/>
                <xsd:element ref="ns2:c62d2a16d8c64439bad9557f40f14a73" minOccurs="0"/>
                <xsd:element ref="ns2:l421a83f0feb4eb5b50f4b7f3826055c" minOccurs="0"/>
                <xsd:element ref="ns2:SharedWithUser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0009-2e1b-4edc-b4d3-23f450f15032" elementFormDefault="qualified">
    <xsd:import namespace="http://schemas.microsoft.com/office/2006/documentManagement/types"/>
    <xsd:import namespace="http://schemas.microsoft.com/office/infopath/2007/PartnerControls"/>
    <xsd:element name="Year" ma:index="4" nillable="true" ma:displayName="Year" ma:default="2014" ma:description="Year in YYYY format" ma:internalName="Year">
      <xsd:simpleType>
        <xsd:restriction base="dms:Text">
          <xsd:maxLength value="4"/>
        </xsd:restriction>
      </xsd:simple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TaxCatchAllLabel" ma:index="23" nillable="true" ma:displayName="Taxonomy Catch All Column1" ma:hidden="true" ma:list="{555e8df0-efb0-4f98-b1e1-036c23ea87fc}" ma:internalName="TaxCatchAllLabel" ma:readOnly="true" ma:showField="CatchAllDataLabel"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KBCTMarker" ma:index="26" nillable="true" ma:displayName="KB CT Marker" ma:default="Article" ma:description="Content Type marker for use in Search, do not delete" ma:format="Dropdown" ma:hidden="true" ma:internalName="KBCTMarker" ma:readOnly="false">
      <xsd:simpleType>
        <xsd:restriction base="dms:Choice">
          <xsd:enumeration value="Article"/>
          <xsd:enumeration value="Publication"/>
          <xsd:enumeration value="Other"/>
        </xsd:restriction>
      </xsd:simpleType>
    </xsd:element>
    <xsd:element name="gc4732adc7b14430b477778f19f3f1a7" ma:index="29" nillable="true" ma:taxonomy="true" ma:internalName="gc4732adc7b14430b477778f19f3f1a7" ma:taxonomyFieldName="Theme" ma:displayName="Document Type" ma:default="" ma:fieldId="{0c4732ad-c7b1-4430-b477-778f19f3f1a7}" ma:sspId="6b539fac-adca-4a50-b836-09533ddb967a" ma:termSetId="37b968a0-c6b9-4c0e-8912-d6e7f4beefc9" ma:anchorId="00000000-0000-0000-0000-000000000000" ma:open="false" ma:isKeyword="false">
      <xsd:complexType>
        <xsd:sequence>
          <xsd:element ref="pc:Terms" minOccurs="0" maxOccurs="1"/>
        </xsd:sequence>
      </xsd:complexType>
    </xsd:element>
    <xsd:element name="kd17dbc970664b69b4e69e53ca44ac55" ma:index="33" nillable="true" ma:taxonomy="true" ma:internalName="kd17dbc970664b69b4e69e53ca44ac55" ma:taxonomyFieldName="KBKeywords" ma:displayName="Keywords" ma:default="" ma:fieldId="{4d17dbc9-7066-4b69-b4e6-9e53ca44ac55}" ma:taxonomyMulti="true" ma:sspId="6b539fac-adca-4a50-b836-09533ddb967a" ma:termSetId="639081ab-5ebe-4c86-8134-908d0d404504" ma:anchorId="15639003-fdbc-432f-8f68-bd274bd1b616" ma:open="true" ma:isKeyword="false">
      <xsd:complexType>
        <xsd:sequence>
          <xsd:element ref="pc:Terms" minOccurs="0" maxOccurs="1"/>
        </xsd:sequence>
      </xsd:complexType>
    </xsd:element>
    <xsd:element name="TaxCatchAll" ma:index="37" nillable="true" ma:displayName="Taxonomy Catch All Column" ma:hidden="true" ma:list="{555e8df0-efb0-4f98-b1e1-036c23ea87fc}" ma:internalName="TaxCatchAll" ma:showField="CatchAllData"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c62d2a16d8c64439bad9557f40f14a73" ma:index="39" nillable="true" ma:taxonomy="true" ma:internalName="c62d2a16d8c64439bad9557f40f14a73" ma:taxonomyFieldName="DocumentLanguage" ma:displayName="Document Language" ma:default="" ma:fieldId="{c62d2a16-d8c6-4439-bad9-557f40f14a73}" ma:sspId="6b539fac-adca-4a50-b836-09533ddb967a" ma:termSetId="2b99d335-8838-4a13-aa8e-39b5233dbe51" ma:anchorId="00000000-0000-0000-0000-000000000000" ma:open="false" ma:isKeyword="false">
      <xsd:complexType>
        <xsd:sequence>
          <xsd:element ref="pc:Terms" minOccurs="0" maxOccurs="1"/>
        </xsd:sequence>
      </xsd:complexType>
    </xsd:element>
    <xsd:element name="l421a83f0feb4eb5b50f4b7f3826055c" ma:index="40" nillable="true" ma:taxonomy="true" ma:internalName="l421a83f0feb4eb5b50f4b7f3826055c" ma:taxonomyFieldName="KBTags" ma:displayName="Locations" ma:default="" ma:fieldId="{5421a83f-0feb-4eb5-b50f-4b7f3826055c}" ma:taxonomyMulti="true" ma:sspId="6b539fac-adca-4a50-b836-09533ddb967a" ma:termSetId="22063731-f686-459a-aaf1-69b6cfcf09c4"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2ab7b-74ac-4f60-81b0-e329b1172e7c"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Theme0" ma:index="9" nillable="true" ma:displayName="Theme" ma:format="Dropdown" ma:internalName="Theme0">
      <xsd:simpleType>
        <xsd:restriction base="dms:Choice">
          <xsd:enumeration value="Food &amp; Nutrition"/>
          <xsd:enumeration value="Health &amp; HIV"/>
          <xsd:enumeration value="Emergencies"/>
          <xsd:enumeration value="Livelihoods"/>
          <xsd:enumeration value="Education"/>
          <xsd:enumeration value="Approaches"/>
        </xsd:restriction>
      </xsd:simpleType>
    </xsd:element>
    <xsd:element name="External" ma:index="10" nillable="true" ma:displayName="External" ma:default="0" ma:description="Is this content suitable for external publication" ma:indexed="true" ma:internalName="External">
      <xsd:simpleType>
        <xsd:restriction base="dms:Boolean"/>
      </xsd:simpleType>
    </xsd:element>
    <xsd:element name="Introduction" ma:index="11" nillable="true" ma:displayName="Introduction" ma:description="DRUPAL field only. Use this field if this content is published externally to Concern.net resources website." ma:internalName="Introduction">
      <xsd:simpleType>
        <xsd:restriction base="dms:Note"/>
      </xsd:simpleType>
    </xsd:element>
    <xsd:element name="Abstract" ma:index="12" nillable="true" ma:displayName="Abstract" ma:description="DRUPAL field only. Use this field if this content is published externally to Concern.net resources website." ma:internalName="Abstract">
      <xsd:simpleType>
        <xsd:restriction base="dms:Note"/>
      </xsd:simpleType>
    </xsd:element>
    <xsd:element name="External_x0020_Image" ma:index="17" nillable="true" ma:displayName="External Image" ma:format="Hyperlink" ma:internalName="External_x0020_Image">
      <xsd:complexType>
        <xsd:complexContent>
          <xsd:extension base="dms:URL">
            <xsd:sequence>
              <xsd:element name="Url" type="dms:ValidUrl" minOccurs="0" nillable="true"/>
              <xsd:element name="Description" type="xsd:string" nillable="true"/>
            </xsd:sequence>
          </xsd:extension>
        </xsd:complexContent>
      </xsd:complexType>
    </xsd:element>
    <xsd:element name="Article_x0020_Category" ma:index="18" nillable="true" ma:displayName="Article Category" ma:description="Drupal Field - External use" ma:format="Dropdown" ma:internalName="Article_x0020_Category">
      <xsd:simpleType>
        <xsd:restriction base="dms:Choice">
          <xsd:enumeration value="DRR"/>
          <xsd:enumeration value="Graduation"/>
          <xsd:enumeration value="Innovations"/>
          <xsd:enumeration value="Learning"/>
          <xsd:enumeration value="Gender Equality"/>
          <xsd:enumeration value="Conservation Agriculture"/>
          <xsd:enumeration value="M&amp;E"/>
        </xsd:restriction>
      </xsd:simpleType>
    </xsd:element>
    <xsd:element name="Overridden" ma:index="19" nillable="true" ma:displayName="Overridden" ma:default="0" ma:description="DRUPAL field only." ma:internalName="Overridden">
      <xsd:simpleType>
        <xsd:restriction base="dms:Boolean"/>
      </xsd:simpleType>
    </xsd:element>
    <xsd:element name="Migrated_x0020_from_x0020_Drupal" ma:index="20" nillable="true" ma:displayName="Migrated from Drupal" ma:default="0" ma:description="DRUPAL field only." ma:internalName="Migrated_x0020_from_x0020_Drupal">
      <xsd:simpleType>
        <xsd:restriction base="dms:Boolean"/>
      </xsd:simpleType>
    </xsd:element>
    <xsd:element name="eb5dd72f347d4f10b95e30e421f9e743" ma:index="30" nillable="true" ma:taxonomy="true" ma:internalName="eb5dd72f347d4f10b95e30e421f9e743" ma:taxonomyFieldName="World_x0020_Region" ma:displayName="World Region" ma:default="" ma:fieldId="{eb5dd72f-347d-4f10-b95e-30e421f9e743}" ma:taxonomyMulti="true" ma:sspId="6b539fac-adca-4a50-b836-09533ddb967a" ma:termSetId="1558612d-d5b8-40dc-a2b5-e5a239a51bc5" ma:anchorId="00000000-0000-0000-0000-000000000000" ma:open="true" ma:isKeyword="false">
      <xsd:complexType>
        <xsd:sequence>
          <xsd:element ref="pc:Terms" minOccurs="0" maxOccurs="1"/>
        </xsd:sequence>
      </xsd:complexType>
    </xsd:element>
    <xsd:element name="f365c88cc6764e93af5da50923d99ce0" ma:index="32" nillable="true" ma:taxonomy="true" ma:internalName="f365c88cc6764e93af5da50923d99ce0" ma:taxonomyFieldName="Resource_x0020_Type" ma:displayName="Resource Type" ma:default="" ma:fieldId="{f365c88c-c676-4e93-af5d-a50923d99ce0}" ma:taxonomyMulti="true" ma:sspId="6b539fac-adca-4a50-b836-09533ddb967a" ma:termSetId="be9fc615-9140-4af8-b6a8-f806b5eef513" ma:anchorId="00000000-0000-0000-0000-000000000000" ma:open="true" ma:isKeyword="false">
      <xsd:complexType>
        <xsd:sequence>
          <xsd:element ref="pc:Terms" minOccurs="0" maxOccurs="1"/>
        </xsd:sequence>
      </xsd:complexType>
    </xsd:element>
    <xsd:element name="f21919b5c8e14011a41081e18f16811c" ma:index="34" nillable="true" ma:taxonomy="true" ma:internalName="f21919b5c8e14011a41081e18f16811c" ma:taxonomyFieldName="Project" ma:displayName="Project" ma:default="" ma:fieldId="{f21919b5-c8e1-4011-a410-81e18f16811c}" ma:taxonomyMulti="true" ma:sspId="6b539fac-adca-4a50-b836-09533ddb967a" ma:termSetId="4774518e-f39e-41df-8ab5-842ee349797b" ma:anchorId="00000000-0000-0000-0000-000000000000" ma:open="true" ma:isKeyword="false">
      <xsd:complexType>
        <xsd:sequence>
          <xsd:element ref="pc:Terms" minOccurs="0" maxOccurs="1"/>
        </xsd:sequence>
      </xsd:complexType>
    </xsd:element>
    <xsd:element name="gaeb795a50b74d7286c1f48f2959761d" ma:index="36" nillable="true" ma:taxonomy="true" ma:internalName="gaeb795a50b74d7286c1f48f2959761d" ma:taxonomyFieldName="External_x0020_Keywords" ma:displayName="External Keywords" ma:default="" ma:fieldId="{0aeb795a-50b7-4d72-86c1-f48f2959761d}" ma:taxonomyMulti="true" ma:sspId="6b539fac-adca-4a50-b836-09533ddb967a" ma:termSetId="e1c449ee-8853-494f-9b06-0d9620fe1ae3" ma:anchorId="00000000-0000-0000-0000-000000000000" ma:open="true" ma:isKeyword="false">
      <xsd:complexType>
        <xsd:sequence>
          <xsd:element ref="pc:Terms" minOccurs="0" maxOccurs="1"/>
        </xsd:sequence>
      </xsd:complexType>
    </xsd:element>
    <xsd:element name="date" ma:index="4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
  <Abstract/>
  <CompanyAddress>KazKazi Rd</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04a0009-2e1b-4edc-b4d3-23f450f15032">
      <Value>83</Value>
      <Value>184</Value>
      <Value>98</Value>
      <Value>241</Value>
      <Value>70</Value>
      <Value>170</Value>
    </TaxCatchAll>
    <c62d2a16d8c64439bad9557f40f14a73 xmlns="804a0009-2e1b-4edc-b4d3-23f450f1503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aea2b048-a194-4dae-b255-9f42f0ee5a68</TermId>
        </TermInfo>
      </Terms>
    </c62d2a16d8c64439bad9557f40f14a73>
    <Description0 xmlns="http://schemas.microsoft.com/sharepoint.v3"> This paper presents a review of maternal and child health services in Nairobi, Kenya.</Description0>
    <kd17dbc970664b69b4e69e53ca44ac55 xmlns="804a0009-2e1b-4edc-b4d3-23f450f15032">
      <Terms xmlns="http://schemas.microsoft.com/office/infopath/2007/PartnerControls">
        <TermInfo xmlns="http://schemas.microsoft.com/office/infopath/2007/PartnerControls">
          <TermName xmlns="http://schemas.microsoft.com/office/infopath/2007/PartnerControls">Maternal, Newborn and Child Health (MNCH)</TermName>
          <TermId xmlns="http://schemas.microsoft.com/office/infopath/2007/PartnerControls">cd9164ec-92bd-4c19-ab85-0fda09fd063e</TermId>
        </TermInfo>
        <TermInfo xmlns="http://schemas.microsoft.com/office/infopath/2007/PartnerControls">
          <TermName xmlns="http://schemas.microsoft.com/office/infopath/2007/PartnerControls">Urban/Slum</TermName>
          <TermId xmlns="http://schemas.microsoft.com/office/infopath/2007/PartnerControls">23ab4c76-1dd5-4fd2-b4e9-8fefc517d107</TermId>
        </TermInfo>
      </Terms>
    </kd17dbc970664b69b4e69e53ca44ac55>
    <IconOverlay xmlns="http://schemas.microsoft.com/sharepoint/v4" xsi:nil="true"/>
    <l421a83f0feb4eb5b50f4b7f3826055c xmlns="804a0009-2e1b-4edc-b4d3-23f450f15032">
      <Terms xmlns="http://schemas.microsoft.com/office/infopath/2007/PartnerControls">
        <TermInfo xmlns="http://schemas.microsoft.com/office/infopath/2007/PartnerControls">
          <TermName xmlns="http://schemas.microsoft.com/office/infopath/2007/PartnerControls">Kenya</TermName>
          <TermId xmlns="http://schemas.microsoft.com/office/infopath/2007/PartnerControls">f98c22cb-6b1d-4948-b829-a95d2cec1884</TermId>
        </TermInfo>
      </Terms>
    </l421a83f0feb4eb5b50f4b7f3826055c>
    <gc4732adc7b14430b477778f19f3f1a7 xmlns="804a0009-2e1b-4edc-b4d3-23f450f15032">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09490adb-0feb-49dc-96ef-6df26b4f0cc6</TermId>
        </TermInfo>
      </Terms>
    </gc4732adc7b14430b477778f19f3f1a7>
    <External xmlns="9b22ab7b-74ac-4f60-81b0-e329b1172e7c">true</External>
    <Year xmlns="804a0009-2e1b-4edc-b4d3-23f450f15032">2015</Year>
    <KBCTMarker xmlns="804a0009-2e1b-4edc-b4d3-23f450f15032">Article</KBCTMarker>
    <Migrated_x0020_from_x0020_Drupal xmlns="9b22ab7b-74ac-4f60-81b0-e329b1172e7c">false</Migrated_x0020_from_x0020_Drupal>
    <eb5dd72f347d4f10b95e30e421f9e743 xmlns="9b22ab7b-74ac-4f60-81b0-e329b1172e7c">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3562c52d-f058-49dd-8e60-fe8c0b0d6403</TermId>
        </TermInfo>
      </Terms>
    </eb5dd72f347d4f10b95e30e421f9e743>
    <gaeb795a50b74d7286c1f48f2959761d xmlns="9b22ab7b-74ac-4f60-81b0-e329b1172e7c">
      <Terms xmlns="http://schemas.microsoft.com/office/infopath/2007/PartnerControls"/>
    </gaeb795a50b74d7286c1f48f2959761d>
    <f365c88cc6764e93af5da50923d99ce0 xmlns="9b22ab7b-74ac-4f60-81b0-e329b1172e7c">
      <Terms xmlns="http://schemas.microsoft.com/office/infopath/2007/PartnerControls"/>
    </f365c88cc6764e93af5da50923d99ce0>
    <Author0 xmlns="9b22ab7b-74ac-4f60-81b0-e329b1172e7c">Gabrielle Appleford</Author0>
    <f21919b5c8e14011a41081e18f16811c xmlns="9b22ab7b-74ac-4f60-81b0-e329b1172e7c">
      <Terms xmlns="http://schemas.microsoft.com/office/infopath/2007/PartnerControls"/>
    </f21919b5c8e14011a41081e18f16811c>
    <Introduction xmlns="9b22ab7b-74ac-4f60-81b0-e329b1172e7c">This paper presents a review of maternal and child health services in Nairobi, Kenya.</Introduction>
    <Abstract xmlns="9b22ab7b-74ac-4f60-81b0-e329b1172e7c">This paper presents a review of maternal and child health services in Nairobi, Kenya.</Abstract>
    <External_x0020_Image xmlns="9b22ab7b-74ac-4f60-81b0-e329b1172e7c">
      <Url>https://concern2com.sharepoint.com/sites/KExchange/External%20Publications%20Images/P1010727%20RGB.jpg</Url>
      <Description>https://concern2com.sharepoint.com/sites/KExchange/External%20Publications%20Images/P1010727%20RGB.jpg</Description>
    </External_x0020_Image>
    <Overridden xmlns="9b22ab7b-74ac-4f60-81b0-e329b1172e7c">false</Overridden>
    <Theme0 xmlns="9b22ab7b-74ac-4f60-81b0-e329b1172e7c">Health &amp; HIV</Theme0>
    <Article_x0020_Category xmlns="9b22ab7b-74ac-4f60-81b0-e329b1172e7c">Learning</Article_x0020_Category>
    <date xmlns="9b22ab7b-74ac-4f60-81b0-e329b1172e7c" xsi:nil="true"/>
  </documentManagement>
</p:properties>
</file>

<file path=customXml/itemProps1.xml><?xml version="1.0" encoding="utf-8"?>
<ds:datastoreItem xmlns:ds="http://schemas.openxmlformats.org/officeDocument/2006/customXml" ds:itemID="{DB752FF9-C62C-42D9-A6BA-B3CB1BFDE5EB}"/>
</file>

<file path=customXml/itemProps2.xml><?xml version="1.0" encoding="utf-8"?>
<ds:datastoreItem xmlns:ds="http://schemas.openxmlformats.org/officeDocument/2006/customXml" ds:itemID="{5282DBB4-BCA8-4C0D-AF9D-DDEE8E01E026}"/>
</file>

<file path=customXml/itemProps3.xml><?xml version="1.0" encoding="utf-8"?>
<ds:datastoreItem xmlns:ds="http://schemas.openxmlformats.org/officeDocument/2006/customXml" ds:itemID="{107C80CB-DA0D-4EFF-BC61-964B5F626075}"/>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8412257-CF2C-47A9-9734-7D3F5AFB30EC}"/>
</file>

<file path=docProps/app.xml><?xml version="1.0" encoding="utf-8"?>
<Properties xmlns="http://schemas.openxmlformats.org/officeDocument/2006/extended-properties" xmlns:vt="http://schemas.openxmlformats.org/officeDocument/2006/docPropsVTypes">
  <Template>Normal.dotm</Template>
  <TotalTime>12</TotalTime>
  <Pages>18</Pages>
  <Words>7744</Words>
  <Characters>44144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MCH Services: why do caregivers not attend?</vt:lpstr>
    </vt:vector>
  </TitlesOfParts>
  <Company>Concern worldwide</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Services-why do caregivers not attend</dc:title>
  <dc:subject>A Review of barriers to the utilisation of Maternal and Child Health services in Nairobi informal settlements</dc:subject>
  <dc:creator>Prepared by: Gabrielle Appleford</dc:creator>
  <cp:lastModifiedBy>Kai Matturi</cp:lastModifiedBy>
  <cp:revision>7</cp:revision>
  <cp:lastPrinted>2015-08-05T10:14:00Z</cp:lastPrinted>
  <dcterms:created xsi:type="dcterms:W3CDTF">2015-08-22T10:50:00Z</dcterms:created>
  <dcterms:modified xsi:type="dcterms:W3CDTF">2015-10-23T14:03:00Z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0x010100B18617695585384CB7D6C977765D3BB300BECCCC8E38DA374C8D3A9D5646DC357B</vt:lpwstr>
  </property>
  <property fmtid="{D5CDD505-2E9C-101B-9397-08002B2CF9AE}" pid="3" name="KBTags">
    <vt:lpwstr>98;#Kenya|f98c22cb-6b1d-4948-b829-a95d2cec1884</vt:lpwstr>
  </property>
  <property fmtid="{D5CDD505-2E9C-101B-9397-08002B2CF9AE}" pid="4" name="Theme">
    <vt:lpwstr>83;#Research|09490adb-0feb-49dc-96ef-6df26b4f0cc6</vt:lpwstr>
  </property>
  <property fmtid="{D5CDD505-2E9C-101B-9397-08002B2CF9AE}" pid="5" name="DocumentLanguage">
    <vt:lpwstr>70;#English|aea2b048-a194-4dae-b255-9f42f0ee5a68</vt:lpwstr>
  </property>
  <property fmtid="{D5CDD505-2E9C-101B-9397-08002B2CF9AE}" pid="6" name="KBKeywords">
    <vt:lpwstr>170;#Maternal, Newborn and Child Health (MNCH)|cd9164ec-92bd-4c19-ab85-0fda09fd063e;#184;#Urban/Slum|23ab4c76-1dd5-4fd2-b4e9-8fefc517d107</vt:lpwstr>
  </property>
  <property fmtid="{D5CDD505-2E9C-101B-9397-08002B2CF9AE}" pid="7" name="Project">
    <vt:lpwstr/>
  </property>
  <property fmtid="{D5CDD505-2E9C-101B-9397-08002B2CF9AE}" pid="8" name="World Region">
    <vt:lpwstr>241;#Africa|3562c52d-f058-49dd-8e60-fe8c0b0d6403</vt:lpwstr>
  </property>
  <property fmtid="{D5CDD505-2E9C-101B-9397-08002B2CF9AE}" pid="9" name="Resource Type">
    <vt:lpwstr/>
  </property>
  <property fmtid="{D5CDD505-2E9C-101B-9397-08002B2CF9AE}" pid="10" name="External Keywords">
    <vt:lpwstr/>
  </property>
  <property fmtid="{D5CDD505-2E9C-101B-9397-08002B2CF9AE}" pid="12" name="Primary Image">
    <vt:lpwstr>, </vt:lpwstr>
  </property>
  <property fmtid="{D5CDD505-2E9C-101B-9397-08002B2CF9AE}" pid="14" name="URL">
    <vt:lpwstr/>
  </property>
</Properties>
</file>